
<file path=[Content_Types].xml><?xml version="1.0" encoding="utf-8"?>
<Types xmlns="http://schemas.openxmlformats.org/package/2006/content-types">
  <Default Extension="xml" ContentType="application/xml"/>
  <Default Extension="emf" ContentType="image/x-emf"/>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e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720"/>
        <w:rPr>
          <w:sz w:val="36"/>
          <w:szCs w:val="36"/>
        </w:rPr>
      </w:pPr>
      <w:bookmarkStart w:id="0" w:name="_Hlk160785452"/>
      <w:bookmarkEnd w:id="0"/>
    </w:p>
    <w:p>
      <w:pPr>
        <w:ind w:left="840" w:hanging="120"/>
        <w:rPr>
          <w:sz w:val="36"/>
          <w:szCs w:val="36"/>
        </w:rPr>
      </w:pPr>
    </w:p>
    <w:p>
      <w:pPr>
        <w:ind w:firstLine="720"/>
        <w:rPr>
          <w:sz w:val="36"/>
          <w:szCs w:val="36"/>
        </w:rPr>
      </w:pPr>
    </w:p>
    <w:p>
      <w:pPr>
        <w:ind w:firstLine="720"/>
        <w:rPr>
          <w:sz w:val="36"/>
          <w:szCs w:val="36"/>
        </w:rPr>
      </w:pPr>
    </w:p>
    <w:p>
      <w:pPr>
        <w:adjustRightInd w:val="0"/>
        <w:snapToGrid w:val="0"/>
        <w:jc w:val="center"/>
        <w:rPr>
          <w:bCs/>
          <w:sz w:val="72"/>
          <w:szCs w:val="72"/>
        </w:rPr>
      </w:pPr>
      <w:bookmarkStart w:id="1" w:name="_Toc81905876"/>
      <w:bookmarkStart w:id="2" w:name="_Toc75185880"/>
      <w:bookmarkStart w:id="3" w:name="_Toc81381069"/>
      <w:r>
        <w:rPr>
          <w:bCs/>
          <w:sz w:val="72"/>
          <w:szCs w:val="72"/>
        </w:rPr>
        <w:t>建设项目环境影响报告表</w:t>
      </w:r>
      <w:bookmarkEnd w:id="1"/>
      <w:bookmarkEnd w:id="2"/>
      <w:bookmarkEnd w:id="3"/>
    </w:p>
    <w:p>
      <w:pPr>
        <w:adjustRightInd w:val="0"/>
        <w:snapToGrid w:val="0"/>
        <w:spacing w:before="192" w:beforeLines="80"/>
        <w:jc w:val="center"/>
        <w:rPr>
          <w:bCs/>
          <w:sz w:val="48"/>
          <w:szCs w:val="48"/>
        </w:rPr>
      </w:pPr>
      <w:r>
        <w:rPr>
          <w:bCs/>
          <w:sz w:val="48"/>
          <w:szCs w:val="48"/>
        </w:rPr>
        <w:t>（污染影响类）</w:t>
      </w:r>
      <w:r>
        <w:rPr>
          <w:rFonts w:hint="eastAsia"/>
          <w:bCs/>
          <w:sz w:val="48"/>
          <w:szCs w:val="48"/>
        </w:rPr>
        <w:t xml:space="preserve"> </w:t>
      </w:r>
    </w:p>
    <w:p>
      <w:pPr>
        <w:ind w:firstLine="720"/>
        <w:rPr>
          <w:sz w:val="36"/>
          <w:szCs w:val="36"/>
        </w:rPr>
      </w:pPr>
    </w:p>
    <w:p>
      <w:pPr>
        <w:ind w:firstLine="720"/>
        <w:rPr>
          <w:sz w:val="36"/>
          <w:szCs w:val="36"/>
        </w:rPr>
      </w:pPr>
    </w:p>
    <w:p>
      <w:pPr>
        <w:ind w:firstLine="720"/>
        <w:rPr>
          <w:sz w:val="36"/>
          <w:szCs w:val="36"/>
        </w:rPr>
      </w:pPr>
    </w:p>
    <w:p>
      <w:pPr>
        <w:ind w:firstLine="720"/>
        <w:rPr>
          <w:sz w:val="36"/>
          <w:szCs w:val="36"/>
        </w:rPr>
      </w:pPr>
    </w:p>
    <w:p>
      <w:pPr>
        <w:ind w:firstLine="720"/>
        <w:rPr>
          <w:sz w:val="36"/>
          <w:szCs w:val="36"/>
        </w:rPr>
      </w:pPr>
    </w:p>
    <w:p>
      <w:pPr>
        <w:ind w:firstLine="720"/>
        <w:rPr>
          <w:sz w:val="36"/>
          <w:szCs w:val="36"/>
        </w:rPr>
      </w:pPr>
    </w:p>
    <w:p>
      <w:pPr>
        <w:ind w:firstLine="720"/>
        <w:rPr>
          <w:sz w:val="36"/>
          <w:szCs w:val="36"/>
        </w:rPr>
      </w:pPr>
    </w:p>
    <w:p>
      <w:pPr>
        <w:ind w:firstLine="720"/>
        <w:rPr>
          <w:sz w:val="36"/>
          <w:szCs w:val="36"/>
        </w:rPr>
      </w:pPr>
    </w:p>
    <w:p>
      <w:pPr>
        <w:ind w:firstLine="720"/>
        <w:rPr>
          <w:sz w:val="36"/>
          <w:szCs w:val="36"/>
        </w:rPr>
      </w:pPr>
    </w:p>
    <w:p>
      <w:pPr>
        <w:ind w:firstLine="720"/>
        <w:rPr>
          <w:sz w:val="36"/>
          <w:szCs w:val="36"/>
        </w:rPr>
      </w:pPr>
    </w:p>
    <w:p>
      <w:pPr>
        <w:ind w:firstLine="720"/>
        <w:rPr>
          <w:sz w:val="36"/>
          <w:szCs w:val="36"/>
        </w:rPr>
      </w:pPr>
    </w:p>
    <w:p>
      <w:pPr>
        <w:adjustRightInd w:val="0"/>
        <w:snapToGrid w:val="0"/>
        <w:spacing w:line="288" w:lineRule="auto"/>
        <w:ind w:firstLine="360" w:firstLineChars="100"/>
        <w:rPr>
          <w:sz w:val="36"/>
          <w:szCs w:val="36"/>
        </w:rPr>
      </w:pPr>
      <w:r>
        <w:rPr>
          <w:sz w:val="36"/>
          <w:szCs w:val="36"/>
        </w:rPr>
        <w:t>项目名称：</w:t>
      </w:r>
      <w:r>
        <w:rPr>
          <w:sz w:val="36"/>
          <w:szCs w:val="36"/>
          <w:u w:val="single"/>
        </w:rPr>
        <w:t xml:space="preserve"> </w:t>
      </w:r>
      <w:r>
        <w:rPr>
          <w:rFonts w:hint="eastAsia"/>
          <w:sz w:val="36"/>
          <w:szCs w:val="36"/>
          <w:u w:val="single"/>
        </w:rPr>
        <w:t xml:space="preserve">      </w:t>
      </w:r>
      <w:r>
        <w:rPr>
          <w:sz w:val="36"/>
          <w:szCs w:val="36"/>
          <w:u w:val="single"/>
        </w:rPr>
        <w:t>鹤岗市坦鑫洗煤厂项目</w:t>
      </w:r>
      <w:r>
        <w:rPr>
          <w:rFonts w:hint="eastAsia"/>
          <w:sz w:val="36"/>
          <w:szCs w:val="36"/>
          <w:u w:val="single"/>
        </w:rPr>
        <w:t xml:space="preserve">      </w:t>
      </w:r>
      <w:r>
        <w:rPr>
          <w:sz w:val="36"/>
          <w:szCs w:val="36"/>
          <w:u w:val="single"/>
        </w:rPr>
        <w:t xml:space="preserve"> </w:t>
      </w:r>
    </w:p>
    <w:p>
      <w:pPr>
        <w:adjustRightInd w:val="0"/>
        <w:snapToGrid w:val="0"/>
        <w:spacing w:line="288" w:lineRule="auto"/>
        <w:ind w:firstLine="360" w:firstLineChars="100"/>
        <w:jc w:val="left"/>
        <w:rPr>
          <w:sz w:val="36"/>
          <w:szCs w:val="36"/>
          <w:u w:val="single"/>
        </w:rPr>
      </w:pPr>
      <w:r>
        <w:rPr>
          <w:sz w:val="36"/>
          <w:szCs w:val="36"/>
        </w:rPr>
        <w:t>建设单位（盖章）：</w:t>
      </w:r>
      <w:r>
        <w:rPr>
          <w:sz w:val="36"/>
          <w:szCs w:val="36"/>
          <w:u w:val="single"/>
        </w:rPr>
        <w:t xml:space="preserve"> 鹤岗市坦鑫煤炭销售有限公司 </w:t>
      </w:r>
    </w:p>
    <w:p>
      <w:pPr>
        <w:adjustRightInd w:val="0"/>
        <w:snapToGrid w:val="0"/>
        <w:spacing w:line="288" w:lineRule="auto"/>
        <w:ind w:firstLine="360" w:firstLineChars="100"/>
        <w:rPr>
          <w:sz w:val="36"/>
          <w:szCs w:val="36"/>
          <w:u w:val="single"/>
        </w:rPr>
      </w:pPr>
      <w:r>
        <w:rPr>
          <w:sz w:val="36"/>
          <w:szCs w:val="36"/>
        </w:rPr>
        <w:t>编制日期：</w:t>
      </w:r>
      <w:r>
        <w:rPr>
          <w:sz w:val="36"/>
          <w:szCs w:val="36"/>
          <w:u w:val="single"/>
        </w:rPr>
        <w:t xml:space="preserve">        </w:t>
      </w:r>
      <w:r>
        <w:rPr>
          <w:rFonts w:hint="eastAsia"/>
          <w:sz w:val="36"/>
          <w:szCs w:val="36"/>
          <w:u w:val="single"/>
        </w:rPr>
        <w:t xml:space="preserve"> </w:t>
      </w:r>
      <w:r>
        <w:rPr>
          <w:sz w:val="36"/>
          <w:szCs w:val="36"/>
          <w:u w:val="single"/>
        </w:rPr>
        <w:t xml:space="preserve"> 202</w:t>
      </w:r>
      <w:r>
        <w:rPr>
          <w:rFonts w:hint="eastAsia"/>
          <w:sz w:val="36"/>
          <w:szCs w:val="36"/>
          <w:u w:val="single"/>
        </w:rPr>
        <w:t>5</w:t>
      </w:r>
      <w:r>
        <w:rPr>
          <w:sz w:val="36"/>
          <w:szCs w:val="36"/>
          <w:u w:val="single"/>
        </w:rPr>
        <w:t>年</w:t>
      </w:r>
      <w:r>
        <w:rPr>
          <w:rFonts w:hint="eastAsia"/>
          <w:sz w:val="36"/>
          <w:szCs w:val="36"/>
          <w:u w:val="single"/>
        </w:rPr>
        <w:t>10</w:t>
      </w:r>
      <w:r>
        <w:rPr>
          <w:sz w:val="36"/>
          <w:szCs w:val="36"/>
          <w:u w:val="single"/>
        </w:rPr>
        <w:t xml:space="preserve">月                  </w:t>
      </w:r>
    </w:p>
    <w:p>
      <w:pPr>
        <w:adjustRightInd w:val="0"/>
        <w:snapToGrid w:val="0"/>
        <w:spacing w:line="288" w:lineRule="auto"/>
        <w:ind w:firstLine="720"/>
        <w:rPr>
          <w:sz w:val="36"/>
          <w:szCs w:val="36"/>
          <w:u w:val="single"/>
        </w:rPr>
      </w:pPr>
      <w:bookmarkStart w:id="4" w:name="_Hlk57884087"/>
    </w:p>
    <w:p>
      <w:pPr>
        <w:adjustRightInd w:val="0"/>
        <w:snapToGrid w:val="0"/>
        <w:spacing w:line="288" w:lineRule="auto"/>
        <w:ind w:firstLine="720"/>
        <w:rPr>
          <w:sz w:val="36"/>
          <w:szCs w:val="36"/>
        </w:rPr>
      </w:pPr>
    </w:p>
    <w:p>
      <w:pPr>
        <w:adjustRightInd w:val="0"/>
        <w:snapToGrid w:val="0"/>
        <w:spacing w:line="288" w:lineRule="auto"/>
        <w:ind w:firstLine="720"/>
        <w:rPr>
          <w:sz w:val="36"/>
          <w:szCs w:val="36"/>
        </w:rPr>
      </w:pPr>
    </w:p>
    <w:p>
      <w:pPr>
        <w:adjustRightInd w:val="0"/>
        <w:snapToGrid w:val="0"/>
        <w:spacing w:line="288" w:lineRule="auto"/>
        <w:ind w:firstLine="720"/>
        <w:rPr>
          <w:sz w:val="36"/>
          <w:szCs w:val="36"/>
        </w:rPr>
      </w:pPr>
    </w:p>
    <w:p>
      <w:pPr>
        <w:adjustRightInd w:val="0"/>
        <w:snapToGrid w:val="0"/>
        <w:spacing w:line="288" w:lineRule="auto"/>
        <w:ind w:firstLine="720"/>
        <w:rPr>
          <w:sz w:val="36"/>
          <w:szCs w:val="36"/>
        </w:rPr>
      </w:pPr>
    </w:p>
    <w:p>
      <w:pPr>
        <w:adjustRightInd w:val="0"/>
        <w:snapToGrid w:val="0"/>
        <w:spacing w:line="288" w:lineRule="auto"/>
        <w:ind w:firstLine="720"/>
        <w:rPr>
          <w:sz w:val="36"/>
          <w:szCs w:val="36"/>
        </w:rPr>
      </w:pPr>
    </w:p>
    <w:bookmarkEnd w:id="4"/>
    <w:p>
      <w:pPr>
        <w:adjustRightInd w:val="0"/>
        <w:snapToGrid w:val="0"/>
        <w:spacing w:line="288" w:lineRule="auto"/>
        <w:ind w:firstLine="720"/>
        <w:jc w:val="center"/>
        <w:rPr>
          <w:sz w:val="36"/>
          <w:szCs w:val="36"/>
        </w:rPr>
        <w:sectPr>
          <w:footerReference r:id="rId3" w:type="default"/>
          <w:footerReference r:id="rId4" w:type="even"/>
          <w:pgSz w:w="11906" w:h="16838"/>
          <w:pgMar w:top="1701" w:right="1531" w:bottom="1701" w:left="1531" w:header="851" w:footer="1077" w:gutter="0"/>
          <w:pgNumType w:start="1"/>
          <w:cols w:space="720" w:num="1"/>
          <w:docGrid w:linePitch="312" w:charSpace="0"/>
        </w:sectPr>
      </w:pPr>
      <w:r>
        <w:rPr>
          <w:sz w:val="36"/>
          <w:szCs w:val="36"/>
        </w:rPr>
        <w:t>中华人民共和国生态环境部制</w:t>
      </w:r>
      <w:r>
        <w:drawing>
          <wp:inline distT="0" distB="0" distL="0" distR="0">
            <wp:extent cx="5615940" cy="7391400"/>
            <wp:effectExtent l="0" t="0" r="3810" b="0"/>
            <wp:docPr id="10179687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968758" name="图片 1"/>
                    <pic:cNvPicPr>
                      <a:picLocks noChangeAspect="1"/>
                    </pic:cNvPicPr>
                  </pic:nvPicPr>
                  <pic:blipFill>
                    <a:blip r:embed="rId11"/>
                    <a:stretch>
                      <a:fillRect/>
                    </a:stretch>
                  </pic:blipFill>
                  <pic:spPr>
                    <a:xfrm>
                      <a:off x="0" y="0"/>
                      <a:ext cx="5615940" cy="7391400"/>
                    </a:xfrm>
                    <a:prstGeom prst="rect">
                      <a:avLst/>
                    </a:prstGeom>
                  </pic:spPr>
                </pic:pic>
              </a:graphicData>
            </a:graphic>
          </wp:inline>
        </w:drawing>
      </w:r>
    </w:p>
    <w:p>
      <w:pPr>
        <w:adjustRightInd w:val="0"/>
        <w:snapToGrid w:val="0"/>
        <w:spacing w:line="360" w:lineRule="auto"/>
        <w:jc w:val="center"/>
        <w:rPr>
          <w:sz w:val="24"/>
        </w:rPr>
      </w:pPr>
      <w:r>
        <w:rPr>
          <w:sz w:val="36"/>
          <w:szCs w:val="36"/>
        </w:rPr>
        <w:t>目  录</w:t>
      </w:r>
      <w:r>
        <w:rPr>
          <w:rStyle w:val="26"/>
          <w:color w:val="auto"/>
        </w:rPr>
        <w:fldChar w:fldCharType="begin"/>
      </w:r>
      <w:r>
        <w:rPr>
          <w:rStyle w:val="26"/>
          <w:color w:val="auto"/>
          <w:sz w:val="24"/>
        </w:rPr>
        <w:instrText xml:space="preserve"> TOC \o "1-3" \h \z \u </w:instrText>
      </w:r>
      <w:r>
        <w:rPr>
          <w:rStyle w:val="26"/>
          <w:color w:val="auto"/>
        </w:rPr>
        <w:fldChar w:fldCharType="separate"/>
      </w:r>
    </w:p>
    <w:p>
      <w:pPr>
        <w:pStyle w:val="13"/>
        <w:spacing w:line="360" w:lineRule="auto"/>
        <w:rPr>
          <w:sz w:val="24"/>
          <w14:ligatures w14:val="standardContextual"/>
        </w:rPr>
      </w:pPr>
      <w:r>
        <w:fldChar w:fldCharType="begin"/>
      </w:r>
      <w:r>
        <w:instrText xml:space="preserve"> HYPERLINK \l "_Toc210915800" </w:instrText>
      </w:r>
      <w:r>
        <w:fldChar w:fldCharType="separate"/>
      </w:r>
      <w:r>
        <w:rPr>
          <w:rStyle w:val="26"/>
          <w:snapToGrid w:val="0"/>
          <w:sz w:val="24"/>
        </w:rPr>
        <w:t>一、建设项目基本情况</w:t>
      </w:r>
      <w:r>
        <w:rPr>
          <w:sz w:val="24"/>
        </w:rPr>
        <w:tab/>
      </w:r>
      <w:r>
        <w:rPr>
          <w:sz w:val="24"/>
        </w:rPr>
        <w:fldChar w:fldCharType="begin"/>
      </w:r>
      <w:r>
        <w:rPr>
          <w:sz w:val="24"/>
        </w:rPr>
        <w:instrText xml:space="preserve"> PAGEREF _Toc210915800 \h </w:instrText>
      </w:r>
      <w:r>
        <w:rPr>
          <w:sz w:val="24"/>
        </w:rPr>
        <w:fldChar w:fldCharType="separate"/>
      </w:r>
      <w:r>
        <w:rPr>
          <w:sz w:val="24"/>
        </w:rPr>
        <w:t>1</w:t>
      </w:r>
      <w:r>
        <w:rPr>
          <w:sz w:val="24"/>
        </w:rPr>
        <w:fldChar w:fldCharType="end"/>
      </w:r>
      <w:r>
        <w:rPr>
          <w:sz w:val="24"/>
        </w:rPr>
        <w:fldChar w:fldCharType="end"/>
      </w:r>
    </w:p>
    <w:p>
      <w:pPr>
        <w:pStyle w:val="13"/>
        <w:spacing w:line="360" w:lineRule="auto"/>
        <w:rPr>
          <w:sz w:val="24"/>
          <w14:ligatures w14:val="standardContextual"/>
        </w:rPr>
      </w:pPr>
      <w:r>
        <w:fldChar w:fldCharType="begin"/>
      </w:r>
      <w:r>
        <w:instrText xml:space="preserve"> HYPERLINK \l "_Toc210915801" </w:instrText>
      </w:r>
      <w:r>
        <w:fldChar w:fldCharType="separate"/>
      </w:r>
      <w:r>
        <w:rPr>
          <w:rStyle w:val="26"/>
          <w:snapToGrid w:val="0"/>
          <w:sz w:val="24"/>
        </w:rPr>
        <w:t>二、建设项目工程分析</w:t>
      </w:r>
      <w:r>
        <w:rPr>
          <w:sz w:val="24"/>
        </w:rPr>
        <w:tab/>
      </w:r>
      <w:r>
        <w:rPr>
          <w:sz w:val="24"/>
        </w:rPr>
        <w:fldChar w:fldCharType="begin"/>
      </w:r>
      <w:r>
        <w:rPr>
          <w:sz w:val="24"/>
        </w:rPr>
        <w:instrText xml:space="preserve"> PAGEREF _Toc210915801 \h </w:instrText>
      </w:r>
      <w:r>
        <w:rPr>
          <w:sz w:val="24"/>
        </w:rPr>
        <w:fldChar w:fldCharType="separate"/>
      </w:r>
      <w:r>
        <w:rPr>
          <w:sz w:val="24"/>
        </w:rPr>
        <w:t>20</w:t>
      </w:r>
      <w:r>
        <w:rPr>
          <w:sz w:val="24"/>
        </w:rPr>
        <w:fldChar w:fldCharType="end"/>
      </w:r>
      <w:r>
        <w:rPr>
          <w:sz w:val="24"/>
        </w:rPr>
        <w:fldChar w:fldCharType="end"/>
      </w:r>
    </w:p>
    <w:p>
      <w:pPr>
        <w:pStyle w:val="13"/>
        <w:spacing w:line="360" w:lineRule="auto"/>
        <w:rPr>
          <w:sz w:val="24"/>
          <w14:ligatures w14:val="standardContextual"/>
        </w:rPr>
      </w:pPr>
      <w:r>
        <w:fldChar w:fldCharType="begin"/>
      </w:r>
      <w:r>
        <w:instrText xml:space="preserve"> HYPERLINK \l "_Toc210915802" </w:instrText>
      </w:r>
      <w:r>
        <w:fldChar w:fldCharType="separate"/>
      </w:r>
      <w:r>
        <w:rPr>
          <w:rStyle w:val="26"/>
          <w:snapToGrid w:val="0"/>
          <w:sz w:val="24"/>
        </w:rPr>
        <w:t>三、区域环境质量现状、环境保护目标及评价标准</w:t>
      </w:r>
      <w:r>
        <w:rPr>
          <w:sz w:val="24"/>
        </w:rPr>
        <w:tab/>
      </w:r>
      <w:r>
        <w:rPr>
          <w:sz w:val="24"/>
        </w:rPr>
        <w:fldChar w:fldCharType="begin"/>
      </w:r>
      <w:r>
        <w:rPr>
          <w:sz w:val="24"/>
        </w:rPr>
        <w:instrText xml:space="preserve"> PAGEREF _Toc210915802 \h </w:instrText>
      </w:r>
      <w:r>
        <w:rPr>
          <w:sz w:val="24"/>
        </w:rPr>
        <w:fldChar w:fldCharType="separate"/>
      </w:r>
      <w:r>
        <w:rPr>
          <w:sz w:val="24"/>
        </w:rPr>
        <w:t>34</w:t>
      </w:r>
      <w:r>
        <w:rPr>
          <w:sz w:val="24"/>
        </w:rPr>
        <w:fldChar w:fldCharType="end"/>
      </w:r>
      <w:r>
        <w:rPr>
          <w:sz w:val="24"/>
        </w:rPr>
        <w:fldChar w:fldCharType="end"/>
      </w:r>
    </w:p>
    <w:p>
      <w:pPr>
        <w:pStyle w:val="13"/>
        <w:spacing w:line="360" w:lineRule="auto"/>
        <w:rPr>
          <w:sz w:val="24"/>
          <w14:ligatures w14:val="standardContextual"/>
        </w:rPr>
      </w:pPr>
      <w:r>
        <w:fldChar w:fldCharType="begin"/>
      </w:r>
      <w:r>
        <w:instrText xml:space="preserve"> HYPERLINK \l "_Toc210915803" </w:instrText>
      </w:r>
      <w:r>
        <w:fldChar w:fldCharType="separate"/>
      </w:r>
      <w:r>
        <w:rPr>
          <w:rStyle w:val="26"/>
          <w:snapToGrid w:val="0"/>
          <w:sz w:val="24"/>
        </w:rPr>
        <w:t>四、主要环境影响和保护措施</w:t>
      </w:r>
      <w:r>
        <w:rPr>
          <w:sz w:val="24"/>
        </w:rPr>
        <w:tab/>
      </w:r>
      <w:r>
        <w:rPr>
          <w:sz w:val="24"/>
        </w:rPr>
        <w:fldChar w:fldCharType="begin"/>
      </w:r>
      <w:r>
        <w:rPr>
          <w:sz w:val="24"/>
        </w:rPr>
        <w:instrText xml:space="preserve"> PAGEREF _Toc210915803 \h </w:instrText>
      </w:r>
      <w:r>
        <w:rPr>
          <w:sz w:val="24"/>
        </w:rPr>
        <w:fldChar w:fldCharType="separate"/>
      </w:r>
      <w:r>
        <w:rPr>
          <w:sz w:val="24"/>
        </w:rPr>
        <w:t>45</w:t>
      </w:r>
      <w:r>
        <w:rPr>
          <w:sz w:val="24"/>
        </w:rPr>
        <w:fldChar w:fldCharType="end"/>
      </w:r>
      <w:r>
        <w:rPr>
          <w:sz w:val="24"/>
        </w:rPr>
        <w:fldChar w:fldCharType="end"/>
      </w:r>
    </w:p>
    <w:p>
      <w:pPr>
        <w:pStyle w:val="13"/>
        <w:spacing w:line="360" w:lineRule="auto"/>
        <w:rPr>
          <w:sz w:val="24"/>
          <w14:ligatures w14:val="standardContextual"/>
        </w:rPr>
      </w:pPr>
      <w:r>
        <w:fldChar w:fldCharType="begin"/>
      </w:r>
      <w:r>
        <w:instrText xml:space="preserve"> HYPERLINK \l "_Toc210915804" </w:instrText>
      </w:r>
      <w:r>
        <w:fldChar w:fldCharType="separate"/>
      </w:r>
      <w:r>
        <w:rPr>
          <w:rStyle w:val="26"/>
          <w:snapToGrid w:val="0"/>
          <w:sz w:val="24"/>
        </w:rPr>
        <w:t>五、环境保护措施监督检查清单</w:t>
      </w:r>
      <w:r>
        <w:rPr>
          <w:sz w:val="24"/>
        </w:rPr>
        <w:tab/>
      </w:r>
      <w:r>
        <w:rPr>
          <w:sz w:val="24"/>
        </w:rPr>
        <w:fldChar w:fldCharType="begin"/>
      </w:r>
      <w:r>
        <w:rPr>
          <w:sz w:val="24"/>
        </w:rPr>
        <w:instrText xml:space="preserve"> PAGEREF _Toc210915804 \h </w:instrText>
      </w:r>
      <w:r>
        <w:rPr>
          <w:sz w:val="24"/>
        </w:rPr>
        <w:fldChar w:fldCharType="separate"/>
      </w:r>
      <w:r>
        <w:rPr>
          <w:sz w:val="24"/>
        </w:rPr>
        <w:t>73</w:t>
      </w:r>
      <w:r>
        <w:rPr>
          <w:sz w:val="24"/>
        </w:rPr>
        <w:fldChar w:fldCharType="end"/>
      </w:r>
      <w:r>
        <w:rPr>
          <w:sz w:val="24"/>
        </w:rPr>
        <w:fldChar w:fldCharType="end"/>
      </w:r>
    </w:p>
    <w:p>
      <w:pPr>
        <w:pStyle w:val="13"/>
        <w:spacing w:line="360" w:lineRule="auto"/>
        <w:rPr>
          <w:sz w:val="24"/>
          <w14:ligatures w14:val="standardContextual"/>
        </w:rPr>
      </w:pPr>
      <w:r>
        <w:fldChar w:fldCharType="begin"/>
      </w:r>
      <w:r>
        <w:instrText xml:space="preserve"> HYPERLINK \l "_Toc210915805" </w:instrText>
      </w:r>
      <w:r>
        <w:fldChar w:fldCharType="separate"/>
      </w:r>
      <w:r>
        <w:rPr>
          <w:rStyle w:val="26"/>
          <w:snapToGrid w:val="0"/>
          <w:sz w:val="24"/>
        </w:rPr>
        <w:t>六、结论</w:t>
      </w:r>
      <w:r>
        <w:rPr>
          <w:sz w:val="24"/>
        </w:rPr>
        <w:tab/>
      </w:r>
      <w:r>
        <w:rPr>
          <w:sz w:val="24"/>
        </w:rPr>
        <w:fldChar w:fldCharType="begin"/>
      </w:r>
      <w:r>
        <w:rPr>
          <w:sz w:val="24"/>
        </w:rPr>
        <w:instrText xml:space="preserve"> PAGEREF _Toc210915805 \h </w:instrText>
      </w:r>
      <w:r>
        <w:rPr>
          <w:sz w:val="24"/>
        </w:rPr>
        <w:fldChar w:fldCharType="separate"/>
      </w:r>
      <w:r>
        <w:rPr>
          <w:sz w:val="24"/>
        </w:rPr>
        <w:t>76</w:t>
      </w:r>
      <w:r>
        <w:rPr>
          <w:sz w:val="24"/>
        </w:rPr>
        <w:fldChar w:fldCharType="end"/>
      </w:r>
      <w:r>
        <w:rPr>
          <w:sz w:val="24"/>
        </w:rPr>
        <w:fldChar w:fldCharType="end"/>
      </w:r>
    </w:p>
    <w:p>
      <w:pPr>
        <w:pStyle w:val="13"/>
        <w:spacing w:line="360" w:lineRule="auto"/>
        <w:rPr>
          <w:sz w:val="24"/>
          <w14:ligatures w14:val="standardContextual"/>
        </w:rPr>
      </w:pPr>
      <w:r>
        <w:fldChar w:fldCharType="begin"/>
      </w:r>
      <w:r>
        <w:instrText xml:space="preserve"> HYPERLINK \l "_Toc210915806" </w:instrText>
      </w:r>
      <w:r>
        <w:fldChar w:fldCharType="separate"/>
      </w:r>
      <w:r>
        <w:rPr>
          <w:rStyle w:val="26"/>
          <w:snapToGrid w:val="0"/>
          <w:sz w:val="24"/>
        </w:rPr>
        <w:t>附表</w:t>
      </w:r>
      <w:r>
        <w:rPr>
          <w:sz w:val="24"/>
        </w:rPr>
        <w:tab/>
      </w:r>
      <w:r>
        <w:rPr>
          <w:sz w:val="24"/>
        </w:rPr>
        <w:fldChar w:fldCharType="begin"/>
      </w:r>
      <w:r>
        <w:rPr>
          <w:sz w:val="24"/>
        </w:rPr>
        <w:instrText xml:space="preserve"> PAGEREF _Toc210915806 \h </w:instrText>
      </w:r>
      <w:r>
        <w:rPr>
          <w:sz w:val="24"/>
        </w:rPr>
        <w:fldChar w:fldCharType="separate"/>
      </w:r>
      <w:r>
        <w:rPr>
          <w:sz w:val="24"/>
        </w:rPr>
        <w:t>77</w:t>
      </w:r>
      <w:r>
        <w:rPr>
          <w:sz w:val="24"/>
        </w:rPr>
        <w:fldChar w:fldCharType="end"/>
      </w:r>
      <w:r>
        <w:rPr>
          <w:sz w:val="24"/>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"_Toc210915807" </w:instrText>
      </w:r>
      <w:r>
        <w:fldChar w:fldCharType="separate"/>
      </w:r>
      <w:r>
        <w:rPr>
          <w:rStyle w:val="26"/>
          <w:rFonts w:eastAsia="宋体"/>
          <w:b w:val="0"/>
          <w:bCs w:val="0"/>
        </w:rPr>
        <w:t>建设项目污染物排放量汇总表</w:t>
      </w:r>
      <w:r>
        <w:rPr>
          <w:rFonts w:eastAsia="宋体"/>
          <w:b w:val="0"/>
          <w:bCs w:val="0"/>
        </w:rPr>
        <w:tab/>
      </w:r>
      <w:r>
        <w:rPr>
          <w:rFonts w:eastAsia="宋体"/>
          <w:b w:val="0"/>
          <w:bCs w:val="0"/>
        </w:rPr>
        <w:fldChar w:fldCharType="begin"/>
      </w:r>
      <w:r>
        <w:rPr>
          <w:rFonts w:eastAsia="宋体"/>
          <w:b w:val="0"/>
          <w:bCs w:val="0"/>
        </w:rPr>
        <w:instrText xml:space="preserve"> PAGEREF _Toc210915807 \h </w:instrText>
      </w:r>
      <w:r>
        <w:rPr>
          <w:rFonts w:eastAsia="宋体"/>
          <w:b w:val="0"/>
          <w:bCs w:val="0"/>
        </w:rPr>
        <w:fldChar w:fldCharType="separate"/>
      </w:r>
      <w:r>
        <w:rPr>
          <w:rFonts w:eastAsia="宋体"/>
          <w:b w:val="0"/>
          <w:bCs w:val="0"/>
        </w:rPr>
        <w:t>77</w:t>
      </w:r>
      <w:r>
        <w:rPr>
          <w:rFonts w:eastAsia="宋体"/>
          <w:b w:val="0"/>
          <w:bCs w:val="0"/>
        </w:rPr>
        <w:fldChar w:fldCharType="end"/>
      </w:r>
      <w:r>
        <w:rPr>
          <w:rFonts w:eastAsia="宋体"/>
          <w:b w:val="0"/>
          <w:bCs w:val="0"/>
        </w:rPr>
        <w:fldChar w:fldCharType="end"/>
      </w:r>
    </w:p>
    <w:p>
      <w:pPr>
        <w:pStyle w:val="13"/>
        <w:spacing w:line="360" w:lineRule="auto"/>
        <w:rPr>
          <w:sz w:val="24"/>
          <w14:ligatures w14:val="standardContextual"/>
        </w:rPr>
      </w:pPr>
      <w:r>
        <w:fldChar w:fldCharType="begin"/>
      </w:r>
      <w:r>
        <w:instrText xml:space="preserve"> HYPERLINK \l "_Toc210915808" </w:instrText>
      </w:r>
      <w:r>
        <w:fldChar w:fldCharType="separate"/>
      </w:r>
      <w:r>
        <w:rPr>
          <w:rStyle w:val="26"/>
          <w:snapToGrid w:val="0"/>
          <w:sz w:val="24"/>
        </w:rPr>
        <w:t>附图</w:t>
      </w:r>
      <w:r>
        <w:rPr>
          <w:sz w:val="24"/>
        </w:rPr>
        <w:tab/>
      </w:r>
      <w:r>
        <w:rPr>
          <w:sz w:val="24"/>
        </w:rPr>
        <w:fldChar w:fldCharType="begin"/>
      </w:r>
      <w:r>
        <w:rPr>
          <w:sz w:val="24"/>
        </w:rPr>
        <w:instrText xml:space="preserve"> PAGEREF _Toc210915808 \h </w:instrText>
      </w:r>
      <w:r>
        <w:rPr>
          <w:sz w:val="24"/>
        </w:rPr>
        <w:fldChar w:fldCharType="separate"/>
      </w:r>
      <w:r>
        <w:rPr>
          <w:sz w:val="24"/>
        </w:rPr>
        <w:t>78</w:t>
      </w:r>
      <w:r>
        <w:rPr>
          <w:sz w:val="24"/>
        </w:rPr>
        <w:fldChar w:fldCharType="end"/>
      </w:r>
      <w:r>
        <w:rPr>
          <w:sz w:val="24"/>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"_Toc210915809" </w:instrText>
      </w:r>
      <w:r>
        <w:fldChar w:fldCharType="separate"/>
      </w:r>
      <w:r>
        <w:rPr>
          <w:rStyle w:val="26"/>
          <w:rFonts w:eastAsia="宋体"/>
          <w:b w:val="0"/>
          <w:bCs w:val="0"/>
        </w:rPr>
        <w:t>附图1 地理位置图</w:t>
      </w:r>
      <w:r>
        <w:rPr>
          <w:rFonts w:eastAsia="宋体"/>
          <w:b w:val="0"/>
          <w:bCs w:val="0"/>
        </w:rPr>
        <w:tab/>
      </w:r>
      <w:r>
        <w:rPr>
          <w:rFonts w:eastAsia="宋体"/>
          <w:b w:val="0"/>
          <w:bCs w:val="0"/>
        </w:rPr>
        <w:fldChar w:fldCharType="begin"/>
      </w:r>
      <w:r>
        <w:rPr>
          <w:rFonts w:eastAsia="宋体"/>
          <w:b w:val="0"/>
          <w:bCs w:val="0"/>
        </w:rPr>
        <w:instrText xml:space="preserve"> PAGEREF _Toc210915809 \h </w:instrText>
      </w:r>
      <w:r>
        <w:rPr>
          <w:rFonts w:eastAsia="宋体"/>
          <w:b w:val="0"/>
          <w:bCs w:val="0"/>
        </w:rPr>
        <w:fldChar w:fldCharType="separate"/>
      </w:r>
      <w:r>
        <w:rPr>
          <w:rFonts w:eastAsia="宋体"/>
          <w:b w:val="0"/>
          <w:bCs w:val="0"/>
        </w:rPr>
        <w:t>78</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"_Toc210915810" </w:instrText>
      </w:r>
      <w:r>
        <w:fldChar w:fldCharType="separate"/>
      </w:r>
      <w:r>
        <w:rPr>
          <w:rStyle w:val="26"/>
          <w:rFonts w:eastAsia="宋体"/>
          <w:b w:val="0"/>
          <w:bCs w:val="0"/>
        </w:rPr>
        <w:t>附件2 鹤岗市中心城区土地利用现状图</w:t>
      </w:r>
      <w:r>
        <w:rPr>
          <w:rFonts w:eastAsia="宋体"/>
          <w:b w:val="0"/>
          <w:bCs w:val="0"/>
        </w:rPr>
        <w:tab/>
      </w:r>
      <w:r>
        <w:rPr>
          <w:rFonts w:eastAsia="宋体"/>
          <w:b w:val="0"/>
          <w:bCs w:val="0"/>
        </w:rPr>
        <w:fldChar w:fldCharType="begin"/>
      </w:r>
      <w:r>
        <w:rPr>
          <w:rFonts w:eastAsia="宋体"/>
          <w:b w:val="0"/>
          <w:bCs w:val="0"/>
        </w:rPr>
        <w:instrText xml:space="preserve"> PAGEREF _Toc210915810 \h </w:instrText>
      </w:r>
      <w:r>
        <w:rPr>
          <w:rFonts w:eastAsia="宋体"/>
          <w:b w:val="0"/>
          <w:bCs w:val="0"/>
        </w:rPr>
        <w:fldChar w:fldCharType="separate"/>
      </w:r>
      <w:r>
        <w:rPr>
          <w:rFonts w:eastAsia="宋体"/>
          <w:b w:val="0"/>
          <w:bCs w:val="0"/>
        </w:rPr>
        <w:t>79</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"_Toc210915811" </w:instrText>
      </w:r>
      <w:r>
        <w:fldChar w:fldCharType="separate"/>
      </w:r>
      <w:r>
        <w:rPr>
          <w:rStyle w:val="26"/>
          <w:rFonts w:eastAsia="宋体"/>
          <w:b w:val="0"/>
          <w:bCs w:val="0"/>
        </w:rPr>
        <w:t>附图3 平面布置图</w:t>
      </w:r>
      <w:r>
        <w:rPr>
          <w:rFonts w:eastAsia="宋体"/>
          <w:b w:val="0"/>
          <w:bCs w:val="0"/>
        </w:rPr>
        <w:tab/>
      </w:r>
      <w:r>
        <w:rPr>
          <w:rFonts w:eastAsia="宋体"/>
          <w:b w:val="0"/>
          <w:bCs w:val="0"/>
        </w:rPr>
        <w:fldChar w:fldCharType="begin"/>
      </w:r>
      <w:r>
        <w:rPr>
          <w:rFonts w:eastAsia="宋体"/>
          <w:b w:val="0"/>
          <w:bCs w:val="0"/>
        </w:rPr>
        <w:instrText xml:space="preserve"> PAGEREF _Toc210915811 \h </w:instrText>
      </w:r>
      <w:r>
        <w:rPr>
          <w:rFonts w:eastAsia="宋体"/>
          <w:b w:val="0"/>
          <w:bCs w:val="0"/>
        </w:rPr>
        <w:fldChar w:fldCharType="separate"/>
      </w:r>
      <w:r>
        <w:rPr>
          <w:rFonts w:eastAsia="宋体"/>
          <w:b w:val="0"/>
          <w:bCs w:val="0"/>
        </w:rPr>
        <w:t>80</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"_Toc210915812" </w:instrText>
      </w:r>
      <w:r>
        <w:fldChar w:fldCharType="separate"/>
      </w:r>
      <w:r>
        <w:rPr>
          <w:rStyle w:val="26"/>
          <w:rFonts w:eastAsia="宋体"/>
          <w:b w:val="0"/>
          <w:bCs w:val="0"/>
        </w:rPr>
        <w:t>附图4 防渗分区图</w:t>
      </w:r>
      <w:r>
        <w:rPr>
          <w:rFonts w:eastAsia="宋体"/>
          <w:b w:val="0"/>
          <w:bCs w:val="0"/>
        </w:rPr>
        <w:tab/>
      </w:r>
      <w:r>
        <w:rPr>
          <w:rFonts w:eastAsia="宋体"/>
          <w:b w:val="0"/>
          <w:bCs w:val="0"/>
        </w:rPr>
        <w:fldChar w:fldCharType="begin"/>
      </w:r>
      <w:r>
        <w:rPr>
          <w:rFonts w:eastAsia="宋体"/>
          <w:b w:val="0"/>
          <w:bCs w:val="0"/>
        </w:rPr>
        <w:instrText xml:space="preserve"> PAGEREF _Toc210915812 \h </w:instrText>
      </w:r>
      <w:r>
        <w:rPr>
          <w:rFonts w:eastAsia="宋体"/>
          <w:b w:val="0"/>
          <w:bCs w:val="0"/>
        </w:rPr>
        <w:fldChar w:fldCharType="separate"/>
      </w:r>
      <w:r>
        <w:rPr>
          <w:rFonts w:eastAsia="宋体"/>
          <w:b w:val="0"/>
          <w:bCs w:val="0"/>
        </w:rPr>
        <w:t>81</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"_Toc210915813" </w:instrText>
      </w:r>
      <w:r>
        <w:fldChar w:fldCharType="separate"/>
      </w:r>
      <w:r>
        <w:rPr>
          <w:rStyle w:val="26"/>
          <w:rFonts w:eastAsia="宋体"/>
          <w:b w:val="0"/>
          <w:bCs w:val="0"/>
        </w:rPr>
        <w:t>附图5 环境敏感目标分布图</w:t>
      </w:r>
      <w:r>
        <w:rPr>
          <w:rFonts w:eastAsia="宋体"/>
          <w:b w:val="0"/>
          <w:bCs w:val="0"/>
        </w:rPr>
        <w:tab/>
      </w:r>
      <w:r>
        <w:rPr>
          <w:rFonts w:eastAsia="宋体"/>
          <w:b w:val="0"/>
          <w:bCs w:val="0"/>
        </w:rPr>
        <w:fldChar w:fldCharType="begin"/>
      </w:r>
      <w:r>
        <w:rPr>
          <w:rFonts w:eastAsia="宋体"/>
          <w:b w:val="0"/>
          <w:bCs w:val="0"/>
        </w:rPr>
        <w:instrText xml:space="preserve"> PAGEREF _Toc210915813 \h </w:instrText>
      </w:r>
      <w:r>
        <w:rPr>
          <w:rFonts w:eastAsia="宋体"/>
          <w:b w:val="0"/>
          <w:bCs w:val="0"/>
        </w:rPr>
        <w:fldChar w:fldCharType="separate"/>
      </w:r>
      <w:r>
        <w:rPr>
          <w:rFonts w:eastAsia="宋体"/>
          <w:b w:val="0"/>
          <w:bCs w:val="0"/>
        </w:rPr>
        <w:t>82</w:t>
      </w:r>
      <w:r>
        <w:rPr>
          <w:rFonts w:eastAsia="宋体"/>
          <w:b w:val="0"/>
          <w:bCs w:val="0"/>
        </w:rPr>
        <w:fldChar w:fldCharType="end"/>
      </w:r>
      <w:r>
        <w:rPr>
          <w:rFonts w:eastAsia="宋体"/>
          <w:b w:val="0"/>
          <w:bCs w:val="0"/>
        </w:rPr>
        <w:fldChar w:fldCharType="end"/>
      </w:r>
    </w:p>
    <w:p>
      <w:pPr>
        <w:pStyle w:val="13"/>
        <w:spacing w:line="360" w:lineRule="auto"/>
        <w:rPr>
          <w:sz w:val="24"/>
          <w14:ligatures w14:val="standardContextual"/>
        </w:rPr>
      </w:pPr>
      <w:r>
        <w:fldChar w:fldCharType="begin"/>
      </w:r>
      <w:r>
        <w:instrText xml:space="preserve"> HYPERLINK \l "_Toc210915814" </w:instrText>
      </w:r>
      <w:r>
        <w:fldChar w:fldCharType="separate"/>
      </w:r>
      <w:r>
        <w:rPr>
          <w:rStyle w:val="26"/>
          <w:snapToGrid w:val="0"/>
          <w:sz w:val="24"/>
        </w:rPr>
        <w:t>附件</w:t>
      </w:r>
      <w:r>
        <w:rPr>
          <w:sz w:val="24"/>
        </w:rPr>
        <w:tab/>
      </w:r>
      <w:r>
        <w:rPr>
          <w:sz w:val="24"/>
        </w:rPr>
        <w:fldChar w:fldCharType="begin"/>
      </w:r>
      <w:r>
        <w:rPr>
          <w:sz w:val="24"/>
        </w:rPr>
        <w:instrText xml:space="preserve"> PAGEREF _Toc210915814 \h </w:instrText>
      </w:r>
      <w:r>
        <w:rPr>
          <w:sz w:val="24"/>
        </w:rPr>
        <w:fldChar w:fldCharType="separate"/>
      </w:r>
      <w:r>
        <w:rPr>
          <w:sz w:val="24"/>
        </w:rPr>
        <w:t>83</w:t>
      </w:r>
      <w:r>
        <w:rPr>
          <w:sz w:val="24"/>
        </w:rPr>
        <w:fldChar w:fldCharType="end"/>
      </w:r>
      <w:r>
        <w:rPr>
          <w:sz w:val="24"/>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"_Toc210915815" </w:instrText>
      </w:r>
      <w:r>
        <w:fldChar w:fldCharType="separate"/>
      </w:r>
      <w:r>
        <w:rPr>
          <w:rStyle w:val="26"/>
          <w:rFonts w:eastAsia="宋体"/>
          <w:b w:val="0"/>
          <w:bCs w:val="0"/>
        </w:rPr>
        <w:t>附件1 营业执照</w:t>
      </w:r>
      <w:r>
        <w:rPr>
          <w:rFonts w:eastAsia="宋体"/>
          <w:b w:val="0"/>
          <w:bCs w:val="0"/>
        </w:rPr>
        <w:tab/>
      </w:r>
      <w:r>
        <w:rPr>
          <w:rFonts w:eastAsia="宋体"/>
          <w:b w:val="0"/>
          <w:bCs w:val="0"/>
        </w:rPr>
        <w:fldChar w:fldCharType="begin"/>
      </w:r>
      <w:r>
        <w:rPr>
          <w:rFonts w:eastAsia="宋体"/>
          <w:b w:val="0"/>
          <w:bCs w:val="0"/>
        </w:rPr>
        <w:instrText xml:space="preserve"> PAGEREF _Toc210915815 \h </w:instrText>
      </w:r>
      <w:r>
        <w:rPr>
          <w:rFonts w:eastAsia="宋体"/>
          <w:b w:val="0"/>
          <w:bCs w:val="0"/>
        </w:rPr>
        <w:fldChar w:fldCharType="separate"/>
      </w:r>
      <w:r>
        <w:rPr>
          <w:rFonts w:eastAsia="宋体"/>
          <w:b w:val="0"/>
          <w:bCs w:val="0"/>
        </w:rPr>
        <w:t>83</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"_Toc210915816" </w:instrText>
      </w:r>
      <w:r>
        <w:fldChar w:fldCharType="separate"/>
      </w:r>
      <w:r>
        <w:rPr>
          <w:rStyle w:val="26"/>
          <w:rFonts w:eastAsia="宋体"/>
          <w:b w:val="0"/>
          <w:bCs w:val="0"/>
        </w:rPr>
        <w:t>附件2 土地租赁合同</w:t>
      </w:r>
      <w:r>
        <w:rPr>
          <w:rFonts w:eastAsia="宋体"/>
          <w:b w:val="0"/>
          <w:bCs w:val="0"/>
        </w:rPr>
        <w:tab/>
      </w:r>
      <w:r>
        <w:rPr>
          <w:rFonts w:eastAsia="宋体"/>
          <w:b w:val="0"/>
          <w:bCs w:val="0"/>
        </w:rPr>
        <w:fldChar w:fldCharType="begin"/>
      </w:r>
      <w:r>
        <w:rPr>
          <w:rFonts w:eastAsia="宋体"/>
          <w:b w:val="0"/>
          <w:bCs w:val="0"/>
        </w:rPr>
        <w:instrText xml:space="preserve"> PAGEREF _Toc210915816 \h </w:instrText>
      </w:r>
      <w:r>
        <w:rPr>
          <w:rFonts w:eastAsia="宋体"/>
          <w:b w:val="0"/>
          <w:bCs w:val="0"/>
        </w:rPr>
        <w:fldChar w:fldCharType="separate"/>
      </w:r>
      <w:r>
        <w:rPr>
          <w:rFonts w:eastAsia="宋体"/>
          <w:b w:val="0"/>
          <w:bCs w:val="0"/>
        </w:rPr>
        <w:t>84</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"_Toc210915817" </w:instrText>
      </w:r>
      <w:r>
        <w:fldChar w:fldCharType="separate"/>
      </w:r>
      <w:r>
        <w:rPr>
          <w:rStyle w:val="26"/>
          <w:rFonts w:eastAsia="宋体"/>
          <w:b w:val="0"/>
          <w:bCs w:val="0"/>
        </w:rPr>
        <w:t>附件3 项目选址规划情况的说明</w:t>
      </w:r>
      <w:r>
        <w:rPr>
          <w:rFonts w:eastAsia="宋体"/>
          <w:b w:val="0"/>
          <w:bCs w:val="0"/>
        </w:rPr>
        <w:tab/>
      </w:r>
      <w:r>
        <w:rPr>
          <w:rFonts w:eastAsia="宋体"/>
          <w:b w:val="0"/>
          <w:bCs w:val="0"/>
        </w:rPr>
        <w:fldChar w:fldCharType="begin"/>
      </w:r>
      <w:r>
        <w:rPr>
          <w:rFonts w:eastAsia="宋体"/>
          <w:b w:val="0"/>
          <w:bCs w:val="0"/>
        </w:rPr>
        <w:instrText xml:space="preserve"> PAGEREF _Toc210915817 \h </w:instrText>
      </w:r>
      <w:r>
        <w:rPr>
          <w:rFonts w:eastAsia="宋体"/>
          <w:b w:val="0"/>
          <w:bCs w:val="0"/>
        </w:rPr>
        <w:fldChar w:fldCharType="separate"/>
      </w:r>
      <w:r>
        <w:rPr>
          <w:rFonts w:eastAsia="宋体"/>
          <w:b w:val="0"/>
          <w:bCs w:val="0"/>
        </w:rPr>
        <w:t>86</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"_Toc210915818" </w:instrText>
      </w:r>
      <w:r>
        <w:fldChar w:fldCharType="separate"/>
      </w:r>
      <w:r>
        <w:rPr>
          <w:rStyle w:val="26"/>
          <w:rFonts w:eastAsia="宋体"/>
          <w:b w:val="0"/>
          <w:bCs w:val="0"/>
        </w:rPr>
        <w:t>附件4 现状监测报告</w:t>
      </w:r>
      <w:r>
        <w:rPr>
          <w:rFonts w:eastAsia="宋体"/>
          <w:b w:val="0"/>
          <w:bCs w:val="0"/>
        </w:rPr>
        <w:tab/>
      </w:r>
      <w:r>
        <w:rPr>
          <w:rFonts w:eastAsia="宋体"/>
          <w:b w:val="0"/>
          <w:bCs w:val="0"/>
        </w:rPr>
        <w:fldChar w:fldCharType="begin"/>
      </w:r>
      <w:r>
        <w:rPr>
          <w:rFonts w:eastAsia="宋体"/>
          <w:b w:val="0"/>
          <w:bCs w:val="0"/>
        </w:rPr>
        <w:instrText xml:space="preserve"> PAGEREF _Toc210915818 \h </w:instrText>
      </w:r>
      <w:r>
        <w:rPr>
          <w:rFonts w:eastAsia="宋体"/>
          <w:b w:val="0"/>
          <w:bCs w:val="0"/>
        </w:rPr>
        <w:fldChar w:fldCharType="separate"/>
      </w:r>
      <w:r>
        <w:rPr>
          <w:rFonts w:eastAsia="宋体"/>
          <w:b w:val="0"/>
          <w:bCs w:val="0"/>
        </w:rPr>
        <w:t>87</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"_Toc210915819" </w:instrText>
      </w:r>
      <w:r>
        <w:fldChar w:fldCharType="separate"/>
      </w:r>
      <w:r>
        <w:rPr>
          <w:rStyle w:val="26"/>
          <w:rFonts w:eastAsia="宋体"/>
          <w:b w:val="0"/>
          <w:bCs w:val="0"/>
        </w:rPr>
        <w:t>附件5 生态环境分区管控分析报告</w:t>
      </w:r>
      <w:r>
        <w:rPr>
          <w:rFonts w:eastAsia="宋体"/>
          <w:b w:val="0"/>
          <w:bCs w:val="0"/>
        </w:rPr>
        <w:tab/>
      </w:r>
      <w:r>
        <w:rPr>
          <w:rFonts w:eastAsia="宋体"/>
          <w:b w:val="0"/>
          <w:bCs w:val="0"/>
        </w:rPr>
        <w:fldChar w:fldCharType="begin"/>
      </w:r>
      <w:r>
        <w:rPr>
          <w:rFonts w:eastAsia="宋体"/>
          <w:b w:val="0"/>
          <w:bCs w:val="0"/>
        </w:rPr>
        <w:instrText xml:space="preserve"> PAGEREF _Toc210915819 \h </w:instrText>
      </w:r>
      <w:r>
        <w:rPr>
          <w:rFonts w:eastAsia="宋体"/>
          <w:b w:val="0"/>
          <w:bCs w:val="0"/>
        </w:rPr>
        <w:fldChar w:fldCharType="separate"/>
      </w:r>
      <w:r>
        <w:rPr>
          <w:rFonts w:eastAsia="宋体"/>
          <w:b w:val="0"/>
          <w:bCs w:val="0"/>
        </w:rPr>
        <w:t>97</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"_Toc210915820" </w:instrText>
      </w:r>
      <w:r>
        <w:fldChar w:fldCharType="separate"/>
      </w:r>
      <w:r>
        <w:rPr>
          <w:rStyle w:val="26"/>
          <w:rFonts w:eastAsia="宋体"/>
          <w:b w:val="0"/>
          <w:bCs w:val="0"/>
        </w:rPr>
        <w:t>附件6 原煤煤质检测报告</w:t>
      </w:r>
      <w:r>
        <w:rPr>
          <w:rFonts w:eastAsia="宋体"/>
          <w:b w:val="0"/>
          <w:bCs w:val="0"/>
        </w:rPr>
        <w:tab/>
      </w:r>
      <w:r>
        <w:rPr>
          <w:rFonts w:eastAsia="宋体"/>
          <w:b w:val="0"/>
          <w:bCs w:val="0"/>
        </w:rPr>
        <w:fldChar w:fldCharType="begin"/>
      </w:r>
      <w:r>
        <w:rPr>
          <w:rFonts w:eastAsia="宋体"/>
          <w:b w:val="0"/>
          <w:bCs w:val="0"/>
        </w:rPr>
        <w:instrText xml:space="preserve"> PAGEREF _Toc210915820 \h </w:instrText>
      </w:r>
      <w:r>
        <w:rPr>
          <w:rFonts w:eastAsia="宋体"/>
          <w:b w:val="0"/>
          <w:bCs w:val="0"/>
        </w:rPr>
        <w:fldChar w:fldCharType="separate"/>
      </w:r>
      <w:r>
        <w:rPr>
          <w:rFonts w:eastAsia="宋体"/>
          <w:b w:val="0"/>
          <w:bCs w:val="0"/>
        </w:rPr>
        <w:t>102</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"_Toc210915821" </w:instrText>
      </w:r>
      <w:r>
        <w:fldChar w:fldCharType="separate"/>
      </w:r>
      <w:r>
        <w:rPr>
          <w:rStyle w:val="26"/>
          <w:rFonts w:eastAsia="宋体"/>
          <w:b w:val="0"/>
          <w:bCs w:val="0"/>
        </w:rPr>
        <w:t>附件7 编制单位营业执照</w:t>
      </w:r>
      <w:r>
        <w:rPr>
          <w:rFonts w:eastAsia="宋体"/>
          <w:b w:val="0"/>
          <w:bCs w:val="0"/>
        </w:rPr>
        <w:tab/>
      </w:r>
      <w:r>
        <w:rPr>
          <w:rFonts w:eastAsia="宋体"/>
          <w:b w:val="0"/>
          <w:bCs w:val="0"/>
        </w:rPr>
        <w:fldChar w:fldCharType="begin"/>
      </w:r>
      <w:r>
        <w:rPr>
          <w:rFonts w:eastAsia="宋体"/>
          <w:b w:val="0"/>
          <w:bCs w:val="0"/>
        </w:rPr>
        <w:instrText xml:space="preserve"> PAGEREF _Toc210915821 \h </w:instrText>
      </w:r>
      <w:r>
        <w:rPr>
          <w:rFonts w:eastAsia="宋体"/>
          <w:b w:val="0"/>
          <w:bCs w:val="0"/>
        </w:rPr>
        <w:fldChar w:fldCharType="separate"/>
      </w:r>
      <w:r>
        <w:rPr>
          <w:rFonts w:eastAsia="宋体"/>
          <w:b w:val="0"/>
          <w:bCs w:val="0"/>
        </w:rPr>
        <w:t>106</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"_Toc210915822" </w:instrText>
      </w:r>
      <w:r>
        <w:fldChar w:fldCharType="separate"/>
      </w:r>
      <w:r>
        <w:rPr>
          <w:rStyle w:val="26"/>
          <w:rFonts w:eastAsia="宋体"/>
          <w:b w:val="0"/>
          <w:bCs w:val="0"/>
        </w:rPr>
        <w:t>附件8 编制人员环评资质证书</w:t>
      </w:r>
      <w:r>
        <w:rPr>
          <w:rFonts w:eastAsia="宋体"/>
          <w:b w:val="0"/>
          <w:bCs w:val="0"/>
        </w:rPr>
        <w:tab/>
      </w:r>
      <w:r>
        <w:rPr>
          <w:rFonts w:eastAsia="宋体"/>
          <w:b w:val="0"/>
          <w:bCs w:val="0"/>
        </w:rPr>
        <w:fldChar w:fldCharType="begin"/>
      </w:r>
      <w:r>
        <w:rPr>
          <w:rFonts w:eastAsia="宋体"/>
          <w:b w:val="0"/>
          <w:bCs w:val="0"/>
        </w:rPr>
        <w:instrText xml:space="preserve"> PAGEREF _Toc210915822 \h </w:instrText>
      </w:r>
      <w:r>
        <w:rPr>
          <w:rFonts w:eastAsia="宋体"/>
          <w:b w:val="0"/>
          <w:bCs w:val="0"/>
        </w:rPr>
        <w:fldChar w:fldCharType="separate"/>
      </w:r>
      <w:r>
        <w:rPr>
          <w:rFonts w:eastAsia="宋体"/>
          <w:b w:val="0"/>
          <w:bCs w:val="0"/>
        </w:rPr>
        <w:t>107</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"_Toc210915823" </w:instrText>
      </w:r>
      <w:r>
        <w:fldChar w:fldCharType="separate"/>
      </w:r>
      <w:r>
        <w:rPr>
          <w:rStyle w:val="26"/>
          <w:rFonts w:eastAsia="宋体"/>
          <w:b w:val="0"/>
          <w:bCs w:val="0"/>
        </w:rPr>
        <w:t>附件9 编制单位与编制人员劳动合同</w:t>
      </w:r>
      <w:r>
        <w:rPr>
          <w:rFonts w:eastAsia="宋体"/>
          <w:b w:val="0"/>
          <w:bCs w:val="0"/>
        </w:rPr>
        <w:tab/>
      </w:r>
      <w:r>
        <w:rPr>
          <w:rFonts w:eastAsia="宋体"/>
          <w:b w:val="0"/>
          <w:bCs w:val="0"/>
        </w:rPr>
        <w:fldChar w:fldCharType="begin"/>
      </w:r>
      <w:r>
        <w:rPr>
          <w:rFonts w:eastAsia="宋体"/>
          <w:b w:val="0"/>
          <w:bCs w:val="0"/>
        </w:rPr>
        <w:instrText xml:space="preserve"> PAGEREF _Toc210915823 \h </w:instrText>
      </w:r>
      <w:r>
        <w:rPr>
          <w:rFonts w:eastAsia="宋体"/>
          <w:b w:val="0"/>
          <w:bCs w:val="0"/>
        </w:rPr>
        <w:fldChar w:fldCharType="separate"/>
      </w:r>
      <w:r>
        <w:rPr>
          <w:rFonts w:eastAsia="宋体"/>
          <w:b w:val="0"/>
          <w:bCs w:val="0"/>
        </w:rPr>
        <w:t>108</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"_Toc210915824" </w:instrText>
      </w:r>
      <w:r>
        <w:fldChar w:fldCharType="separate"/>
      </w:r>
      <w:r>
        <w:rPr>
          <w:rStyle w:val="26"/>
          <w:rFonts w:eastAsia="宋体"/>
          <w:b w:val="0"/>
          <w:bCs w:val="0"/>
        </w:rPr>
        <w:t>附件10 编制人员社保缴费记录</w:t>
      </w:r>
      <w:r>
        <w:rPr>
          <w:rFonts w:eastAsia="宋体"/>
          <w:b w:val="0"/>
          <w:bCs w:val="0"/>
        </w:rPr>
        <w:tab/>
      </w:r>
      <w:r>
        <w:rPr>
          <w:rFonts w:eastAsia="宋体"/>
          <w:b w:val="0"/>
          <w:bCs w:val="0"/>
        </w:rPr>
        <w:fldChar w:fldCharType="begin"/>
      </w:r>
      <w:r>
        <w:rPr>
          <w:rFonts w:eastAsia="宋体"/>
          <w:b w:val="0"/>
          <w:bCs w:val="0"/>
        </w:rPr>
        <w:instrText xml:space="preserve"> PAGEREF _Toc210915824 \h </w:instrText>
      </w:r>
      <w:r>
        <w:rPr>
          <w:rFonts w:eastAsia="宋体"/>
          <w:b w:val="0"/>
          <w:bCs w:val="0"/>
        </w:rPr>
        <w:fldChar w:fldCharType="separate"/>
      </w:r>
      <w:r>
        <w:rPr>
          <w:rFonts w:eastAsia="宋体"/>
          <w:b w:val="0"/>
          <w:bCs w:val="0"/>
        </w:rPr>
        <w:t>109</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"_Toc210915825" </w:instrText>
      </w:r>
      <w:r>
        <w:fldChar w:fldCharType="separate"/>
      </w:r>
      <w:r>
        <w:rPr>
          <w:rStyle w:val="26"/>
          <w:rFonts w:eastAsia="宋体"/>
          <w:b w:val="0"/>
          <w:bCs w:val="0"/>
        </w:rPr>
        <w:t>附件11 工程师现场勘查照片</w:t>
      </w:r>
      <w:r>
        <w:rPr>
          <w:rFonts w:eastAsia="宋体"/>
          <w:b w:val="0"/>
          <w:bCs w:val="0"/>
        </w:rPr>
        <w:tab/>
      </w:r>
      <w:r>
        <w:rPr>
          <w:rFonts w:eastAsia="宋体"/>
          <w:b w:val="0"/>
          <w:bCs w:val="0"/>
        </w:rPr>
        <w:fldChar w:fldCharType="begin"/>
      </w:r>
      <w:r>
        <w:rPr>
          <w:rFonts w:eastAsia="宋体"/>
          <w:b w:val="0"/>
          <w:bCs w:val="0"/>
        </w:rPr>
        <w:instrText xml:space="preserve"> PAGEREF _Toc210915825 \h </w:instrText>
      </w:r>
      <w:r>
        <w:rPr>
          <w:rFonts w:eastAsia="宋体"/>
          <w:b w:val="0"/>
          <w:bCs w:val="0"/>
        </w:rPr>
        <w:fldChar w:fldCharType="separate"/>
      </w:r>
      <w:r>
        <w:rPr>
          <w:rFonts w:eastAsia="宋体"/>
          <w:b w:val="0"/>
          <w:bCs w:val="0"/>
        </w:rPr>
        <w:t>110</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"_Toc210915826" </w:instrText>
      </w:r>
      <w:r>
        <w:fldChar w:fldCharType="separate"/>
      </w:r>
      <w:r>
        <w:rPr>
          <w:rStyle w:val="26"/>
          <w:rFonts w:eastAsia="宋体"/>
          <w:b w:val="0"/>
          <w:bCs w:val="0"/>
          <w:kern w:val="0"/>
        </w:rPr>
        <w:t>附件12 环境影响评价文件报批申请</w:t>
      </w:r>
      <w:r>
        <w:rPr>
          <w:rFonts w:eastAsia="宋体"/>
          <w:b w:val="0"/>
          <w:bCs w:val="0"/>
        </w:rPr>
        <w:tab/>
      </w:r>
      <w:r>
        <w:rPr>
          <w:rFonts w:eastAsia="宋体"/>
          <w:b w:val="0"/>
          <w:bCs w:val="0"/>
        </w:rPr>
        <w:fldChar w:fldCharType="begin"/>
      </w:r>
      <w:r>
        <w:rPr>
          <w:rFonts w:eastAsia="宋体"/>
          <w:b w:val="0"/>
          <w:bCs w:val="0"/>
        </w:rPr>
        <w:instrText xml:space="preserve"> PAGEREF _Toc210915826 \h </w:instrText>
      </w:r>
      <w:r>
        <w:rPr>
          <w:rFonts w:eastAsia="宋体"/>
          <w:b w:val="0"/>
          <w:bCs w:val="0"/>
        </w:rPr>
        <w:fldChar w:fldCharType="separate"/>
      </w:r>
      <w:r>
        <w:rPr>
          <w:rFonts w:eastAsia="宋体"/>
          <w:b w:val="0"/>
          <w:bCs w:val="0"/>
        </w:rPr>
        <w:t>112</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"_Toc210915827" </w:instrText>
      </w:r>
      <w:r>
        <w:fldChar w:fldCharType="separate"/>
      </w:r>
      <w:r>
        <w:rPr>
          <w:rStyle w:val="26"/>
          <w:rFonts w:eastAsia="宋体"/>
          <w:b w:val="0"/>
          <w:bCs w:val="0"/>
          <w:kern w:val="0"/>
        </w:rPr>
        <w:t>附件13 删除不宜公开信息的说明</w:t>
      </w:r>
      <w:r>
        <w:rPr>
          <w:rFonts w:eastAsia="宋体"/>
          <w:b w:val="0"/>
          <w:bCs w:val="0"/>
        </w:rPr>
        <w:tab/>
      </w:r>
      <w:r>
        <w:rPr>
          <w:rFonts w:eastAsia="宋体"/>
          <w:b w:val="0"/>
          <w:bCs w:val="0"/>
        </w:rPr>
        <w:fldChar w:fldCharType="begin"/>
      </w:r>
      <w:r>
        <w:rPr>
          <w:rFonts w:eastAsia="宋体"/>
          <w:b w:val="0"/>
          <w:bCs w:val="0"/>
        </w:rPr>
        <w:instrText xml:space="preserve"> PAGEREF _Toc210915827 \h </w:instrText>
      </w:r>
      <w:r>
        <w:rPr>
          <w:rFonts w:eastAsia="宋体"/>
          <w:b w:val="0"/>
          <w:bCs w:val="0"/>
        </w:rPr>
        <w:fldChar w:fldCharType="separate"/>
      </w:r>
      <w:r>
        <w:rPr>
          <w:rFonts w:eastAsia="宋体"/>
          <w:b w:val="0"/>
          <w:bCs w:val="0"/>
        </w:rPr>
        <w:t>113</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"_Toc210915828" </w:instrText>
      </w:r>
      <w:r>
        <w:fldChar w:fldCharType="separate"/>
      </w:r>
      <w:r>
        <w:rPr>
          <w:rStyle w:val="26"/>
          <w:rFonts w:eastAsia="宋体"/>
          <w:b w:val="0"/>
          <w:bCs w:val="0"/>
          <w:kern w:val="0"/>
        </w:rPr>
        <w:t>附件14 项目招商相关部门证明</w:t>
      </w:r>
      <w:r>
        <w:rPr>
          <w:rFonts w:eastAsia="宋体"/>
          <w:b w:val="0"/>
          <w:bCs w:val="0"/>
        </w:rPr>
        <w:tab/>
      </w:r>
      <w:r>
        <w:rPr>
          <w:rFonts w:eastAsia="宋体"/>
          <w:b w:val="0"/>
          <w:bCs w:val="0"/>
        </w:rPr>
        <w:fldChar w:fldCharType="begin"/>
      </w:r>
      <w:r>
        <w:rPr>
          <w:rFonts w:eastAsia="宋体"/>
          <w:b w:val="0"/>
          <w:bCs w:val="0"/>
        </w:rPr>
        <w:instrText xml:space="preserve"> PAGEREF _Toc210915828 \h </w:instrText>
      </w:r>
      <w:r>
        <w:rPr>
          <w:rFonts w:eastAsia="宋体"/>
          <w:b w:val="0"/>
          <w:bCs w:val="0"/>
        </w:rPr>
        <w:fldChar w:fldCharType="separate"/>
      </w:r>
      <w:r>
        <w:rPr>
          <w:rFonts w:eastAsia="宋体"/>
          <w:b w:val="0"/>
          <w:bCs w:val="0"/>
        </w:rPr>
        <w:t>114</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"_Toc210915829" </w:instrText>
      </w:r>
      <w:r>
        <w:fldChar w:fldCharType="separate"/>
      </w:r>
      <w:r>
        <w:rPr>
          <w:rStyle w:val="26"/>
          <w:rFonts w:eastAsia="宋体"/>
          <w:b w:val="0"/>
          <w:bCs w:val="0"/>
          <w:kern w:val="0"/>
        </w:rPr>
        <w:t>附件15 建设单位与环评编制单位的委托合同</w:t>
      </w:r>
      <w:r>
        <w:rPr>
          <w:rFonts w:eastAsia="宋体"/>
          <w:b w:val="0"/>
          <w:bCs w:val="0"/>
        </w:rPr>
        <w:tab/>
      </w:r>
      <w:r>
        <w:rPr>
          <w:rFonts w:eastAsia="宋体"/>
          <w:b w:val="0"/>
          <w:bCs w:val="0"/>
        </w:rPr>
        <w:fldChar w:fldCharType="begin"/>
      </w:r>
      <w:r>
        <w:rPr>
          <w:rFonts w:eastAsia="宋体"/>
          <w:b w:val="0"/>
          <w:bCs w:val="0"/>
        </w:rPr>
        <w:instrText xml:space="preserve"> PAGEREF _Toc210915829 \h </w:instrText>
      </w:r>
      <w:r>
        <w:rPr>
          <w:rFonts w:eastAsia="宋体"/>
          <w:b w:val="0"/>
          <w:bCs w:val="0"/>
        </w:rPr>
        <w:fldChar w:fldCharType="separate"/>
      </w:r>
      <w:r>
        <w:rPr>
          <w:rFonts w:eastAsia="宋体"/>
          <w:b w:val="0"/>
          <w:bCs w:val="0"/>
        </w:rPr>
        <w:t>115</w:t>
      </w:r>
      <w:r>
        <w:rPr>
          <w:rFonts w:eastAsia="宋体"/>
          <w:b w:val="0"/>
          <w:bCs w:val="0"/>
        </w:rPr>
        <w:fldChar w:fldCharType="end"/>
      </w:r>
      <w:r>
        <w:rPr>
          <w:rFonts w:eastAsia="宋体"/>
          <w:b w:val="0"/>
          <w:bCs w:val="0"/>
        </w:rPr>
        <w:fldChar w:fldCharType="end"/>
      </w:r>
    </w:p>
    <w:p>
      <w:pPr>
        <w:pStyle w:val="14"/>
        <w:spacing w:line="360" w:lineRule="auto"/>
        <w:rPr>
          <w:rFonts w:eastAsia="宋体"/>
          <w:b w:val="0"/>
          <w:bCs w:val="0"/>
          <w:snapToGrid/>
          <w14:ligatures w14:val="standardContextual"/>
        </w:rPr>
      </w:pPr>
      <w:r>
        <w:fldChar w:fldCharType="begin"/>
      </w:r>
      <w:r>
        <w:instrText xml:space="preserve"> HYPERLINK \l "_Toc210915830" </w:instrText>
      </w:r>
      <w:r>
        <w:fldChar w:fldCharType="separate"/>
      </w:r>
      <w:r>
        <w:rPr>
          <w:rStyle w:val="26"/>
          <w:rFonts w:eastAsia="宋体"/>
          <w:b w:val="0"/>
          <w:bCs w:val="0"/>
          <w:kern w:val="0"/>
        </w:rPr>
        <w:t>附件16 公示截图</w:t>
      </w:r>
      <w:r>
        <w:rPr>
          <w:rFonts w:eastAsia="宋体"/>
          <w:b w:val="0"/>
          <w:bCs w:val="0"/>
        </w:rPr>
        <w:tab/>
      </w:r>
      <w:r>
        <w:rPr>
          <w:rFonts w:eastAsia="宋体"/>
          <w:b w:val="0"/>
          <w:bCs w:val="0"/>
        </w:rPr>
        <w:fldChar w:fldCharType="begin"/>
      </w:r>
      <w:r>
        <w:rPr>
          <w:rFonts w:eastAsia="宋体"/>
          <w:b w:val="0"/>
          <w:bCs w:val="0"/>
        </w:rPr>
        <w:instrText xml:space="preserve"> PAGEREF _Toc210915830 \h </w:instrText>
      </w:r>
      <w:r>
        <w:rPr>
          <w:rFonts w:eastAsia="宋体"/>
          <w:b w:val="0"/>
          <w:bCs w:val="0"/>
        </w:rPr>
        <w:fldChar w:fldCharType="separate"/>
      </w:r>
      <w:r>
        <w:rPr>
          <w:rFonts w:eastAsia="宋体"/>
          <w:b w:val="0"/>
          <w:bCs w:val="0"/>
        </w:rPr>
        <w:t>120</w:t>
      </w:r>
      <w:r>
        <w:rPr>
          <w:rFonts w:eastAsia="宋体"/>
          <w:b w:val="0"/>
          <w:bCs w:val="0"/>
        </w:rPr>
        <w:fldChar w:fldCharType="end"/>
      </w:r>
      <w:r>
        <w:rPr>
          <w:rFonts w:eastAsia="宋体"/>
          <w:b w:val="0"/>
          <w:bCs w:val="0"/>
        </w:rPr>
        <w:fldChar w:fldCharType="end"/>
      </w:r>
    </w:p>
    <w:p>
      <w:pPr>
        <w:adjustRightInd w:val="0"/>
        <w:snapToGrid w:val="0"/>
        <w:spacing w:line="360" w:lineRule="auto"/>
        <w:rPr>
          <w:sz w:val="24"/>
        </w:rPr>
        <w:sectPr>
          <w:footerReference r:id="rId5" w:type="default"/>
          <w:pgSz w:w="11906" w:h="16838"/>
          <w:pgMar w:top="1701" w:right="1531" w:bottom="1701" w:left="1531" w:header="851" w:footer="1077" w:gutter="0"/>
          <w:pgNumType w:start="1"/>
          <w:cols w:space="720" w:num="1"/>
          <w:docGrid w:linePitch="312" w:charSpace="0"/>
        </w:sectPr>
      </w:pPr>
      <w:r>
        <w:rPr>
          <w:sz w:val="24"/>
        </w:rPr>
        <w:fldChar w:fldCharType="end"/>
      </w:r>
    </w:p>
    <w:p>
      <w:pPr>
        <w:pStyle w:val="15"/>
        <w:adjustRightInd w:val="0"/>
        <w:snapToGrid w:val="0"/>
        <w:spacing w:before="0" w:beforeAutospacing="0" w:after="0" w:afterAutospacing="0"/>
        <w:outlineLvl w:val="0"/>
        <w:rPr>
          <w:rFonts w:ascii="Times New Roman" w:hAnsi="Times New Roman"/>
          <w:snapToGrid w:val="0"/>
          <w:sz w:val="30"/>
          <w:szCs w:val="30"/>
        </w:rPr>
      </w:pPr>
      <w:bookmarkStart w:id="5" w:name="_Toc210915800"/>
      <w:r>
        <w:rPr>
          <w:rFonts w:ascii="Times New Roman" w:hAnsi="Times New Roman"/>
          <w:snapToGrid w:val="0"/>
          <w:sz w:val="30"/>
          <w:szCs w:val="30"/>
        </w:rPr>
        <w:t>一、建设项目基本情况</w:t>
      </w:r>
      <w:bookmarkEnd w:id="5"/>
    </w:p>
    <w:tbl>
      <w:tblPr>
        <w:tblStyle w:val="20"/>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675"/>
        <w:gridCol w:w="716"/>
        <w:gridCol w:w="2129"/>
        <w:gridCol w:w="1975"/>
        <w:gridCol w:w="337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95" w:hRule="atLeast"/>
          <w:jc w:val="center"/>
        </w:trPr>
        <w:tc>
          <w:tcPr>
            <w:tcW w:w="1833" w:type="dxa"/>
            <w:gridSpan w:val="2"/>
            <w:tcMar>
              <w:top w:w="16" w:type="dxa"/>
              <w:left w:w="16" w:type="dxa"/>
              <w:right w:w="16" w:type="dxa"/>
            </w:tcMar>
            <w:vAlign w:val="center"/>
          </w:tcPr>
          <w:p>
            <w:pPr>
              <w:jc w:val="center"/>
              <w:rPr>
                <w:sz w:val="24"/>
              </w:rPr>
            </w:pPr>
            <w:r>
              <w:rPr>
                <w:sz w:val="24"/>
              </w:rPr>
              <w:t>建设项目名称</w:t>
            </w:r>
          </w:p>
        </w:tc>
        <w:tc>
          <w:tcPr>
            <w:tcW w:w="7037" w:type="dxa"/>
            <w:gridSpan w:val="3"/>
            <w:vAlign w:val="center"/>
          </w:tcPr>
          <w:p>
            <w:pPr>
              <w:jc w:val="center"/>
              <w:rPr>
                <w:sz w:val="24"/>
              </w:rPr>
            </w:pPr>
            <w:r>
              <w:rPr>
                <w:sz w:val="24"/>
              </w:rPr>
              <w:t>鹤岗市坦鑫洗煤厂项目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35" w:hRule="atLeast"/>
          <w:jc w:val="center"/>
        </w:trPr>
        <w:tc>
          <w:tcPr>
            <w:tcW w:w="1833" w:type="dxa"/>
            <w:gridSpan w:val="2"/>
            <w:tcMar>
              <w:top w:w="16" w:type="dxa"/>
              <w:left w:w="16" w:type="dxa"/>
              <w:right w:w="16" w:type="dxa"/>
            </w:tcMar>
            <w:vAlign w:val="center"/>
          </w:tcPr>
          <w:p>
            <w:pPr>
              <w:jc w:val="center"/>
              <w:rPr>
                <w:sz w:val="24"/>
              </w:rPr>
            </w:pPr>
            <w:r>
              <w:rPr>
                <w:sz w:val="24"/>
              </w:rPr>
              <w:t>项目代码</w:t>
            </w:r>
          </w:p>
        </w:tc>
        <w:tc>
          <w:tcPr>
            <w:tcW w:w="7037" w:type="dxa"/>
            <w:gridSpan w:val="3"/>
            <w:vAlign w:val="center"/>
          </w:tcPr>
          <w:p>
            <w:pPr>
              <w:jc w:val="center"/>
              <w:rPr>
                <w:sz w:val="24"/>
              </w:rPr>
            </w:pPr>
            <w:r>
              <w:rPr>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61" w:hRule="atLeast"/>
          <w:jc w:val="center"/>
        </w:trPr>
        <w:tc>
          <w:tcPr>
            <w:tcW w:w="1833" w:type="dxa"/>
            <w:gridSpan w:val="2"/>
            <w:tcMar>
              <w:top w:w="16" w:type="dxa"/>
              <w:left w:w="16" w:type="dxa"/>
              <w:right w:w="16" w:type="dxa"/>
            </w:tcMar>
            <w:vAlign w:val="center"/>
          </w:tcPr>
          <w:p>
            <w:pPr>
              <w:jc w:val="center"/>
              <w:rPr>
                <w:sz w:val="24"/>
              </w:rPr>
            </w:pPr>
            <w:r>
              <w:rPr>
                <w:sz w:val="24"/>
              </w:rPr>
              <w:t>建设单位联系人</w:t>
            </w:r>
          </w:p>
        </w:tc>
        <w:tc>
          <w:tcPr>
            <w:tcW w:w="2126" w:type="dxa"/>
            <w:vAlign w:val="center"/>
          </w:tcPr>
          <w:p>
            <w:pPr>
              <w:jc w:val="center"/>
              <w:rPr>
                <w:sz w:val="24"/>
              </w:rPr>
            </w:pPr>
            <w:r>
              <w:rPr>
                <w:rFonts w:hint="eastAsia"/>
                <w:sz w:val="24"/>
              </w:rPr>
              <w:t>邱晓雨</w:t>
            </w:r>
          </w:p>
        </w:tc>
        <w:tc>
          <w:tcPr>
            <w:tcW w:w="1843" w:type="dxa"/>
            <w:vAlign w:val="center"/>
          </w:tcPr>
          <w:p>
            <w:pPr>
              <w:jc w:val="center"/>
              <w:rPr>
                <w:sz w:val="24"/>
              </w:rPr>
            </w:pPr>
            <w:r>
              <w:rPr>
                <w:sz w:val="24"/>
              </w:rPr>
              <w:t>联系方式</w:t>
            </w:r>
          </w:p>
        </w:tc>
        <w:tc>
          <w:tcPr>
            <w:tcW w:w="3068" w:type="dxa"/>
            <w:vAlign w:val="center"/>
          </w:tcPr>
          <w:p>
            <w:pPr>
              <w:jc w:val="center"/>
              <w:rPr>
                <w:sz w:val="24"/>
              </w:rPr>
            </w:pPr>
            <w:r>
              <w:rPr>
                <w:sz w:val="24"/>
              </w:rPr>
              <w:t>156</w:t>
            </w:r>
            <w:r>
              <w:rPr>
                <w:rFonts w:hint="eastAsia"/>
                <w:sz w:val="24"/>
                <w:lang w:val="en-US" w:eastAsia="zh-CN"/>
              </w:rPr>
              <w:t>****</w:t>
            </w:r>
            <w:r>
              <w:rPr>
                <w:sz w:val="24"/>
              </w:rPr>
              <w:t>5552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60" w:hRule="atLeast"/>
          <w:jc w:val="center"/>
        </w:trPr>
        <w:tc>
          <w:tcPr>
            <w:tcW w:w="1833" w:type="dxa"/>
            <w:gridSpan w:val="2"/>
            <w:tcMar>
              <w:top w:w="16" w:type="dxa"/>
              <w:left w:w="16" w:type="dxa"/>
              <w:right w:w="16" w:type="dxa"/>
            </w:tcMar>
            <w:vAlign w:val="center"/>
          </w:tcPr>
          <w:p>
            <w:pPr>
              <w:jc w:val="center"/>
              <w:rPr>
                <w:sz w:val="24"/>
              </w:rPr>
            </w:pPr>
            <w:r>
              <w:rPr>
                <w:sz w:val="24"/>
              </w:rPr>
              <w:t>建设地点</w:t>
            </w:r>
          </w:p>
        </w:tc>
        <w:tc>
          <w:tcPr>
            <w:tcW w:w="7037" w:type="dxa"/>
            <w:gridSpan w:val="3"/>
            <w:vAlign w:val="center"/>
          </w:tcPr>
          <w:p>
            <w:pPr>
              <w:jc w:val="center"/>
              <w:rPr>
                <w:sz w:val="24"/>
              </w:rPr>
            </w:pPr>
            <w:r>
              <w:rPr>
                <w:rFonts w:hint="eastAsia"/>
                <w:sz w:val="24"/>
              </w:rPr>
              <w:t>黑龙江省鹤岗市兴安区红旗镇峻丰村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60" w:hRule="atLeast"/>
          <w:jc w:val="center"/>
        </w:trPr>
        <w:tc>
          <w:tcPr>
            <w:tcW w:w="1833" w:type="dxa"/>
            <w:gridSpan w:val="2"/>
            <w:tcMar>
              <w:top w:w="16" w:type="dxa"/>
              <w:left w:w="16" w:type="dxa"/>
              <w:right w:w="16" w:type="dxa"/>
            </w:tcMar>
            <w:vAlign w:val="center"/>
          </w:tcPr>
          <w:p>
            <w:pPr>
              <w:jc w:val="center"/>
              <w:rPr>
                <w:sz w:val="24"/>
              </w:rPr>
            </w:pPr>
            <w:r>
              <w:rPr>
                <w:sz w:val="24"/>
              </w:rPr>
              <w:t>地理坐标</w:t>
            </w:r>
          </w:p>
        </w:tc>
        <w:tc>
          <w:tcPr>
            <w:tcW w:w="7037" w:type="dxa"/>
            <w:gridSpan w:val="3"/>
            <w:vAlign w:val="center"/>
          </w:tcPr>
          <w:p>
            <w:pPr>
              <w:jc w:val="center"/>
              <w:rPr>
                <w:sz w:val="24"/>
              </w:rPr>
            </w:pPr>
            <w:r>
              <w:rPr>
                <w:rFonts w:hint="eastAsia"/>
                <w:sz w:val="24"/>
              </w:rPr>
              <w:t>（</w:t>
            </w:r>
            <w:r>
              <w:rPr>
                <w:rFonts w:hint="eastAsia"/>
                <w:sz w:val="24"/>
                <w:u w:val="single"/>
              </w:rPr>
              <w:t>130</w:t>
            </w:r>
            <w:r>
              <w:rPr>
                <w:rFonts w:hint="eastAsia"/>
                <w:sz w:val="24"/>
              </w:rPr>
              <w:t>度</w:t>
            </w:r>
            <w:r>
              <w:rPr>
                <w:rFonts w:hint="eastAsia"/>
                <w:sz w:val="24"/>
                <w:u w:val="single"/>
              </w:rPr>
              <w:t>15</w:t>
            </w:r>
            <w:r>
              <w:rPr>
                <w:rFonts w:hint="eastAsia"/>
                <w:sz w:val="24"/>
              </w:rPr>
              <w:t>分</w:t>
            </w:r>
            <w:r>
              <w:rPr>
                <w:rFonts w:hint="eastAsia"/>
                <w:sz w:val="24"/>
                <w:u w:val="single"/>
              </w:rPr>
              <w:t>39.275</w:t>
            </w:r>
            <w:r>
              <w:rPr>
                <w:rFonts w:hint="eastAsia"/>
                <w:sz w:val="24"/>
              </w:rPr>
              <w:t>秒，</w:t>
            </w:r>
            <w:r>
              <w:rPr>
                <w:rFonts w:hint="eastAsia"/>
                <w:sz w:val="24"/>
                <w:u w:val="single"/>
              </w:rPr>
              <w:t>47</w:t>
            </w:r>
            <w:r>
              <w:rPr>
                <w:rFonts w:hint="eastAsia"/>
                <w:sz w:val="24"/>
              </w:rPr>
              <w:t>度</w:t>
            </w:r>
            <w:r>
              <w:rPr>
                <w:rFonts w:hint="eastAsia"/>
                <w:sz w:val="24"/>
                <w:u w:val="single"/>
              </w:rPr>
              <w:t>11</w:t>
            </w:r>
            <w:r>
              <w:rPr>
                <w:rFonts w:hint="eastAsia"/>
                <w:sz w:val="24"/>
              </w:rPr>
              <w:t>分</w:t>
            </w:r>
            <w:r>
              <w:rPr>
                <w:rFonts w:hint="eastAsia"/>
                <w:sz w:val="24"/>
                <w:u w:val="single"/>
              </w:rPr>
              <w:t>19.521</w:t>
            </w:r>
            <w:r>
              <w:rPr>
                <w:rFonts w:hint="eastAsia"/>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00" w:hRule="atLeast"/>
          <w:jc w:val="center"/>
        </w:trPr>
        <w:tc>
          <w:tcPr>
            <w:tcW w:w="1833" w:type="dxa"/>
            <w:gridSpan w:val="2"/>
            <w:tcMar>
              <w:top w:w="16" w:type="dxa"/>
              <w:left w:w="16" w:type="dxa"/>
              <w:right w:w="16" w:type="dxa"/>
            </w:tcMar>
            <w:vAlign w:val="center"/>
          </w:tcPr>
          <w:p>
            <w:pPr>
              <w:jc w:val="center"/>
              <w:rPr>
                <w:sz w:val="24"/>
              </w:rPr>
            </w:pPr>
            <w:r>
              <w:rPr>
                <w:sz w:val="24"/>
              </w:rPr>
              <w:t>国民经济</w:t>
            </w:r>
          </w:p>
          <w:p>
            <w:pPr>
              <w:jc w:val="center"/>
              <w:rPr>
                <w:sz w:val="24"/>
              </w:rPr>
            </w:pPr>
            <w:r>
              <w:rPr>
                <w:sz w:val="24"/>
              </w:rPr>
              <w:t>行业类别</w:t>
            </w:r>
          </w:p>
        </w:tc>
        <w:tc>
          <w:tcPr>
            <w:tcW w:w="2126" w:type="dxa"/>
            <w:vAlign w:val="center"/>
          </w:tcPr>
          <w:p>
            <w:pPr>
              <w:jc w:val="center"/>
              <w:rPr>
                <w:sz w:val="24"/>
              </w:rPr>
            </w:pPr>
            <w:r>
              <w:rPr>
                <w:rFonts w:hint="eastAsia"/>
                <w:sz w:val="24"/>
              </w:rPr>
              <w:t>B0690其他煤炭采选</w:t>
            </w:r>
          </w:p>
        </w:tc>
        <w:tc>
          <w:tcPr>
            <w:tcW w:w="1843" w:type="dxa"/>
            <w:vAlign w:val="center"/>
          </w:tcPr>
          <w:p>
            <w:pPr>
              <w:jc w:val="center"/>
              <w:rPr>
                <w:sz w:val="24"/>
              </w:rPr>
            </w:pPr>
            <w:bookmarkStart w:id="6" w:name="_Hlk49843745"/>
            <w:r>
              <w:rPr>
                <w:sz w:val="24"/>
              </w:rPr>
              <w:t>建设项目</w:t>
            </w:r>
          </w:p>
          <w:p>
            <w:pPr>
              <w:jc w:val="center"/>
              <w:rPr>
                <w:sz w:val="24"/>
              </w:rPr>
            </w:pPr>
            <w:r>
              <w:rPr>
                <w:sz w:val="24"/>
              </w:rPr>
              <w:t>行业类别</w:t>
            </w:r>
            <w:bookmarkEnd w:id="6"/>
          </w:p>
        </w:tc>
        <w:tc>
          <w:tcPr>
            <w:tcW w:w="3068" w:type="dxa"/>
            <w:vAlign w:val="center"/>
          </w:tcPr>
          <w:p>
            <w:pPr>
              <w:rPr>
                <w:sz w:val="24"/>
              </w:rPr>
            </w:pPr>
            <w:r>
              <w:rPr>
                <w:sz w:val="24"/>
              </w:rPr>
              <w:t>四、</w:t>
            </w:r>
            <w:r>
              <w:rPr>
                <w:rFonts w:hint="eastAsia"/>
                <w:sz w:val="24"/>
              </w:rPr>
              <w:t>1</w:t>
            </w:r>
            <w:r>
              <w:rPr>
                <w:sz w:val="24"/>
              </w:rPr>
              <w:t>煤炭开采和洗选业</w:t>
            </w:r>
            <w:r>
              <w:rPr>
                <w:rFonts w:hint="eastAsia"/>
                <w:sz w:val="24"/>
              </w:rPr>
              <w:t>；</w:t>
            </w:r>
            <w:r>
              <w:rPr>
                <w:sz w:val="24"/>
              </w:rPr>
              <w:t>其他煤炭采选069；煤炭洗选、配煤</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833" w:type="dxa"/>
            <w:gridSpan w:val="2"/>
            <w:tcMar>
              <w:top w:w="16" w:type="dxa"/>
              <w:left w:w="16" w:type="dxa"/>
              <w:right w:w="16" w:type="dxa"/>
            </w:tcMar>
            <w:vAlign w:val="center"/>
          </w:tcPr>
          <w:p>
            <w:pPr>
              <w:jc w:val="center"/>
              <w:rPr>
                <w:sz w:val="24"/>
              </w:rPr>
            </w:pPr>
            <w:r>
              <w:rPr>
                <w:sz w:val="24"/>
              </w:rPr>
              <w:t>建设性质</w:t>
            </w:r>
          </w:p>
        </w:tc>
        <w:tc>
          <w:tcPr>
            <w:tcW w:w="2126" w:type="dxa"/>
            <w:vAlign w:val="center"/>
          </w:tcPr>
          <w:p>
            <w:pPr>
              <w:jc w:val="left"/>
              <w:rPr>
                <w:sz w:val="24"/>
              </w:rPr>
            </w:pPr>
            <w:r>
              <w:rPr>
                <w:rFonts w:hint="eastAsia"/>
                <w:sz w:val="24"/>
              </w:rPr>
              <w:t>√</w:t>
            </w:r>
            <w:r>
              <w:rPr>
                <w:sz w:val="24"/>
              </w:rPr>
              <w:t>新建（迁建）</w:t>
            </w:r>
          </w:p>
          <w:p>
            <w:pPr>
              <w:jc w:val="left"/>
              <w:rPr>
                <w:sz w:val="24"/>
              </w:rPr>
            </w:pPr>
            <w:r>
              <w:rPr>
                <w:sz w:val="24"/>
              </w:rPr>
              <w:t>□改建</w:t>
            </w:r>
          </w:p>
          <w:p>
            <w:pPr>
              <w:jc w:val="left"/>
              <w:rPr>
                <w:sz w:val="24"/>
              </w:rPr>
            </w:pPr>
            <w:r>
              <w:rPr>
                <w:sz w:val="24"/>
              </w:rPr>
              <w:t>□扩建</w:t>
            </w:r>
          </w:p>
          <w:p>
            <w:pPr>
              <w:jc w:val="left"/>
              <w:rPr>
                <w:sz w:val="24"/>
              </w:rPr>
            </w:pPr>
            <w:r>
              <w:rPr>
                <w:sz w:val="24"/>
              </w:rPr>
              <w:t>□技术改造</w:t>
            </w:r>
          </w:p>
        </w:tc>
        <w:tc>
          <w:tcPr>
            <w:tcW w:w="1843" w:type="dxa"/>
            <w:vAlign w:val="center"/>
          </w:tcPr>
          <w:p>
            <w:pPr>
              <w:jc w:val="center"/>
              <w:rPr>
                <w:sz w:val="24"/>
              </w:rPr>
            </w:pPr>
            <w:r>
              <w:rPr>
                <w:sz w:val="24"/>
              </w:rPr>
              <w:t>建设项目</w:t>
            </w:r>
          </w:p>
          <w:p>
            <w:pPr>
              <w:jc w:val="center"/>
              <w:rPr>
                <w:sz w:val="24"/>
              </w:rPr>
            </w:pPr>
            <w:r>
              <w:rPr>
                <w:sz w:val="24"/>
              </w:rPr>
              <w:t>申报情形</w:t>
            </w:r>
          </w:p>
        </w:tc>
        <w:tc>
          <w:tcPr>
            <w:tcW w:w="3068" w:type="dxa"/>
            <w:vAlign w:val="center"/>
          </w:tcPr>
          <w:p>
            <w:pPr>
              <w:rPr>
                <w:sz w:val="24"/>
              </w:rPr>
            </w:pPr>
            <w:r>
              <w:rPr>
                <w:sz w:val="24"/>
              </w:rPr>
              <w:t>√首次申报项目</w:t>
            </w:r>
          </w:p>
          <w:p>
            <w:pPr>
              <w:rPr>
                <w:sz w:val="24"/>
              </w:rPr>
            </w:pPr>
            <w:r>
              <w:rPr>
                <w:sz w:val="24"/>
              </w:rPr>
              <w:t>□不予批准后再次申报项目</w:t>
            </w:r>
          </w:p>
          <w:p>
            <w:pPr>
              <w:rPr>
                <w:sz w:val="24"/>
              </w:rPr>
            </w:pPr>
            <w:r>
              <w:rPr>
                <w:sz w:val="24"/>
              </w:rPr>
              <w:t>□超五年重新审核项目</w:t>
            </w:r>
          </w:p>
          <w:p>
            <w:pPr>
              <w:rPr>
                <w:sz w:val="24"/>
              </w:rPr>
            </w:pPr>
            <w:r>
              <w:rPr>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833" w:type="dxa"/>
            <w:gridSpan w:val="2"/>
            <w:tcMar>
              <w:top w:w="16" w:type="dxa"/>
              <w:left w:w="16" w:type="dxa"/>
              <w:right w:w="16" w:type="dxa"/>
            </w:tcMar>
            <w:vAlign w:val="center"/>
          </w:tcPr>
          <w:p>
            <w:pPr>
              <w:rPr>
                <w:sz w:val="24"/>
              </w:rPr>
            </w:pPr>
            <w:r>
              <w:rPr>
                <w:sz w:val="24"/>
              </w:rPr>
              <w:t>项目审批（核准/备案）部门（选填）</w:t>
            </w:r>
          </w:p>
        </w:tc>
        <w:tc>
          <w:tcPr>
            <w:tcW w:w="2126" w:type="dxa"/>
            <w:vAlign w:val="center"/>
          </w:tcPr>
          <w:p>
            <w:pPr>
              <w:jc w:val="center"/>
              <w:rPr>
                <w:sz w:val="24"/>
              </w:rPr>
            </w:pPr>
            <w:r>
              <w:rPr>
                <w:sz w:val="24"/>
              </w:rPr>
              <w:t>无</w:t>
            </w:r>
          </w:p>
        </w:tc>
        <w:tc>
          <w:tcPr>
            <w:tcW w:w="1843" w:type="dxa"/>
            <w:vAlign w:val="center"/>
          </w:tcPr>
          <w:p>
            <w:pPr>
              <w:rPr>
                <w:sz w:val="24"/>
              </w:rPr>
            </w:pPr>
            <w:r>
              <w:rPr>
                <w:sz w:val="24"/>
              </w:rPr>
              <w:t>项目审批（核准/备案）文号（选填）</w:t>
            </w:r>
          </w:p>
        </w:tc>
        <w:tc>
          <w:tcPr>
            <w:tcW w:w="3068" w:type="dxa"/>
            <w:vAlign w:val="center"/>
          </w:tcPr>
          <w:p>
            <w:pPr>
              <w:jc w:val="center"/>
              <w:rPr>
                <w:sz w:val="24"/>
              </w:rPr>
            </w:pPr>
            <w:r>
              <w:rPr>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61" w:hRule="atLeast"/>
          <w:jc w:val="center"/>
        </w:trPr>
        <w:tc>
          <w:tcPr>
            <w:tcW w:w="1833" w:type="dxa"/>
            <w:gridSpan w:val="2"/>
            <w:tcMar>
              <w:top w:w="16" w:type="dxa"/>
              <w:left w:w="16" w:type="dxa"/>
              <w:right w:w="16" w:type="dxa"/>
            </w:tcMar>
            <w:vAlign w:val="center"/>
          </w:tcPr>
          <w:p>
            <w:pPr>
              <w:jc w:val="center"/>
              <w:rPr>
                <w:sz w:val="24"/>
              </w:rPr>
            </w:pPr>
            <w:r>
              <w:rPr>
                <w:sz w:val="24"/>
              </w:rPr>
              <w:t>总投资（万元）</w:t>
            </w:r>
          </w:p>
        </w:tc>
        <w:tc>
          <w:tcPr>
            <w:tcW w:w="2126" w:type="dxa"/>
            <w:vAlign w:val="center"/>
          </w:tcPr>
          <w:p>
            <w:pPr>
              <w:jc w:val="center"/>
              <w:rPr>
                <w:sz w:val="24"/>
              </w:rPr>
            </w:pPr>
            <w:r>
              <w:rPr>
                <w:sz w:val="24"/>
              </w:rPr>
              <w:t>1200</w:t>
            </w:r>
          </w:p>
        </w:tc>
        <w:tc>
          <w:tcPr>
            <w:tcW w:w="1843" w:type="dxa"/>
            <w:tcMar>
              <w:top w:w="16" w:type="dxa"/>
              <w:left w:w="16" w:type="dxa"/>
              <w:right w:w="16" w:type="dxa"/>
            </w:tcMar>
            <w:vAlign w:val="center"/>
          </w:tcPr>
          <w:p>
            <w:pPr>
              <w:jc w:val="center"/>
              <w:rPr>
                <w:sz w:val="24"/>
              </w:rPr>
            </w:pPr>
            <w:r>
              <w:rPr>
                <w:sz w:val="24"/>
              </w:rPr>
              <w:t>环保投资（万元）</w:t>
            </w:r>
          </w:p>
        </w:tc>
        <w:tc>
          <w:tcPr>
            <w:tcW w:w="3068" w:type="dxa"/>
            <w:vAlign w:val="center"/>
          </w:tcPr>
          <w:p>
            <w:pPr>
              <w:jc w:val="center"/>
              <w:rPr>
                <w:sz w:val="24"/>
              </w:rPr>
            </w:pPr>
            <w:r>
              <w:rPr>
                <w:rFonts w:hint="eastAsia"/>
                <w:sz w:val="24"/>
              </w:rPr>
              <w:t>53.5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58" w:hRule="atLeast"/>
          <w:jc w:val="center"/>
        </w:trPr>
        <w:tc>
          <w:tcPr>
            <w:tcW w:w="1833" w:type="dxa"/>
            <w:gridSpan w:val="2"/>
            <w:tcMar>
              <w:top w:w="16" w:type="dxa"/>
              <w:left w:w="16" w:type="dxa"/>
              <w:right w:w="16" w:type="dxa"/>
            </w:tcMar>
            <w:vAlign w:val="center"/>
          </w:tcPr>
          <w:p>
            <w:pPr>
              <w:jc w:val="center"/>
              <w:rPr>
                <w:sz w:val="24"/>
              </w:rPr>
            </w:pPr>
            <w:r>
              <w:rPr>
                <w:sz w:val="24"/>
              </w:rPr>
              <w:t>环保投资占比（%）</w:t>
            </w:r>
          </w:p>
        </w:tc>
        <w:tc>
          <w:tcPr>
            <w:tcW w:w="2126" w:type="dxa"/>
            <w:vAlign w:val="center"/>
          </w:tcPr>
          <w:p>
            <w:pPr>
              <w:jc w:val="center"/>
              <w:rPr>
                <w:sz w:val="24"/>
              </w:rPr>
            </w:pPr>
            <w:r>
              <w:rPr>
                <w:rFonts w:hint="eastAsia"/>
                <w:sz w:val="24"/>
              </w:rPr>
              <w:t>4.5</w:t>
            </w:r>
          </w:p>
        </w:tc>
        <w:tc>
          <w:tcPr>
            <w:tcW w:w="1843" w:type="dxa"/>
            <w:tcMar>
              <w:top w:w="16" w:type="dxa"/>
              <w:left w:w="16" w:type="dxa"/>
              <w:right w:w="16" w:type="dxa"/>
            </w:tcMar>
            <w:vAlign w:val="center"/>
          </w:tcPr>
          <w:p>
            <w:pPr>
              <w:jc w:val="center"/>
              <w:rPr>
                <w:sz w:val="24"/>
              </w:rPr>
            </w:pPr>
            <w:bookmarkStart w:id="7" w:name="_Hlk145505830"/>
            <w:r>
              <w:rPr>
                <w:sz w:val="24"/>
              </w:rPr>
              <w:t>施工工期</w:t>
            </w:r>
            <w:bookmarkEnd w:id="7"/>
          </w:p>
        </w:tc>
        <w:tc>
          <w:tcPr>
            <w:tcW w:w="3068" w:type="dxa"/>
            <w:vAlign w:val="center"/>
          </w:tcPr>
          <w:p>
            <w:pPr>
              <w:jc w:val="center"/>
              <w:rPr>
                <w:sz w:val="24"/>
              </w:rPr>
            </w:pPr>
            <w:bookmarkStart w:id="8" w:name="_Hlk145505836"/>
            <w:r>
              <w:rPr>
                <w:sz w:val="24"/>
              </w:rPr>
              <w:t>202</w:t>
            </w:r>
            <w:r>
              <w:rPr>
                <w:rFonts w:hint="eastAsia"/>
                <w:sz w:val="24"/>
              </w:rPr>
              <w:t>5</w:t>
            </w:r>
            <w:r>
              <w:rPr>
                <w:sz w:val="24"/>
              </w:rPr>
              <w:t>年</w:t>
            </w:r>
            <w:r>
              <w:rPr>
                <w:rFonts w:hint="eastAsia"/>
                <w:sz w:val="24"/>
              </w:rPr>
              <w:t>11</w:t>
            </w:r>
            <w:r>
              <w:rPr>
                <w:sz w:val="24"/>
              </w:rPr>
              <w:t>月~202</w:t>
            </w:r>
            <w:r>
              <w:rPr>
                <w:rFonts w:hint="eastAsia"/>
                <w:sz w:val="24"/>
              </w:rPr>
              <w:t>5</w:t>
            </w:r>
            <w:r>
              <w:rPr>
                <w:sz w:val="24"/>
              </w:rPr>
              <w:t>年</w:t>
            </w:r>
            <w:r>
              <w:rPr>
                <w:rFonts w:hint="eastAsia"/>
                <w:sz w:val="24"/>
              </w:rPr>
              <w:t>12</w:t>
            </w:r>
            <w:r>
              <w:rPr>
                <w:sz w:val="24"/>
              </w:rPr>
              <w:t>月</w:t>
            </w:r>
            <w:bookmarkEnd w:id="8"/>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833" w:type="dxa"/>
            <w:gridSpan w:val="2"/>
            <w:tcMar>
              <w:top w:w="16" w:type="dxa"/>
              <w:left w:w="16" w:type="dxa"/>
              <w:right w:w="16" w:type="dxa"/>
            </w:tcMar>
            <w:vAlign w:val="center"/>
          </w:tcPr>
          <w:p>
            <w:pPr>
              <w:jc w:val="center"/>
              <w:rPr>
                <w:sz w:val="24"/>
              </w:rPr>
            </w:pPr>
            <w:r>
              <w:rPr>
                <w:sz w:val="24"/>
              </w:rPr>
              <w:t>是否开工建设</w:t>
            </w:r>
          </w:p>
        </w:tc>
        <w:tc>
          <w:tcPr>
            <w:tcW w:w="2126" w:type="dxa"/>
            <w:vAlign w:val="center"/>
          </w:tcPr>
          <w:p>
            <w:pPr>
              <w:jc w:val="center"/>
              <w:rPr>
                <w:sz w:val="24"/>
              </w:rPr>
            </w:pPr>
            <w:r>
              <w:rPr>
                <w:sz w:val="24"/>
              </w:rPr>
              <w:t>√否</w:t>
            </w:r>
          </w:p>
          <w:p>
            <w:pPr>
              <w:jc w:val="center"/>
              <w:rPr>
                <w:sz w:val="24"/>
              </w:rPr>
            </w:pPr>
            <w:r>
              <w:rPr>
                <w:sz w:val="24"/>
              </w:rPr>
              <w:sym w:font="Wingdings 2" w:char="00A3"/>
            </w:r>
            <w:r>
              <w:rPr>
                <w:sz w:val="24"/>
              </w:rPr>
              <w:t>是</w:t>
            </w:r>
          </w:p>
        </w:tc>
        <w:tc>
          <w:tcPr>
            <w:tcW w:w="1843" w:type="dxa"/>
            <w:tcMar>
              <w:top w:w="16" w:type="dxa"/>
              <w:left w:w="16" w:type="dxa"/>
              <w:right w:w="16" w:type="dxa"/>
            </w:tcMar>
            <w:vAlign w:val="center"/>
          </w:tcPr>
          <w:p>
            <w:pPr>
              <w:jc w:val="center"/>
              <w:rPr>
                <w:spacing w:val="-6"/>
                <w:sz w:val="24"/>
              </w:rPr>
            </w:pPr>
            <w:r>
              <w:rPr>
                <w:spacing w:val="-6"/>
                <w:sz w:val="24"/>
              </w:rPr>
              <w:t>用地（用海）</w:t>
            </w:r>
          </w:p>
          <w:p>
            <w:pPr>
              <w:jc w:val="center"/>
              <w:rPr>
                <w:sz w:val="24"/>
              </w:rPr>
            </w:pPr>
            <w:r>
              <w:rPr>
                <w:spacing w:val="-6"/>
                <w:sz w:val="24"/>
              </w:rPr>
              <w:t>面积（m</w:t>
            </w:r>
            <w:r>
              <w:rPr>
                <w:spacing w:val="-6"/>
                <w:sz w:val="24"/>
                <w:vertAlign w:val="superscript"/>
              </w:rPr>
              <w:t>2</w:t>
            </w:r>
            <w:r>
              <w:rPr>
                <w:spacing w:val="-6"/>
                <w:sz w:val="24"/>
              </w:rPr>
              <w:t>）</w:t>
            </w:r>
          </w:p>
        </w:tc>
        <w:tc>
          <w:tcPr>
            <w:tcW w:w="3068" w:type="dxa"/>
            <w:vAlign w:val="center"/>
          </w:tcPr>
          <w:p>
            <w:pPr>
              <w:jc w:val="center"/>
              <w:rPr>
                <w:sz w:val="24"/>
              </w:rPr>
            </w:pPr>
            <w:r>
              <w:rPr>
                <w:sz w:val="24"/>
              </w:rPr>
              <w:t>4</w:t>
            </w:r>
            <w:r>
              <w:rPr>
                <w:rFonts w:hint="eastAsia"/>
                <w:sz w:val="24"/>
              </w:rPr>
              <w:t>5000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29" w:hRule="atLeast"/>
          <w:jc w:val="center"/>
        </w:trPr>
        <w:tc>
          <w:tcPr>
            <w:tcW w:w="1833" w:type="dxa"/>
            <w:gridSpan w:val="2"/>
            <w:vAlign w:val="center"/>
          </w:tcPr>
          <w:p>
            <w:pPr>
              <w:jc w:val="center"/>
              <w:rPr>
                <w:kern w:val="0"/>
                <w:sz w:val="24"/>
              </w:rPr>
            </w:pPr>
            <w:r>
              <w:rPr>
                <w:kern w:val="0"/>
                <w:sz w:val="24"/>
              </w:rPr>
              <w:t>专项评价设置情况</w:t>
            </w:r>
          </w:p>
        </w:tc>
        <w:tc>
          <w:tcPr>
            <w:tcW w:w="7037" w:type="dxa"/>
            <w:gridSpan w:val="3"/>
            <w:vAlign w:val="center"/>
          </w:tcPr>
          <w:p>
            <w:pPr>
              <w:autoSpaceDE w:val="0"/>
              <w:autoSpaceDN w:val="0"/>
              <w:adjustRightInd w:val="0"/>
              <w:snapToGrid w:val="0"/>
              <w:spacing w:line="360" w:lineRule="auto"/>
              <w:ind w:firstLine="480" w:firstLineChars="200"/>
              <w:rPr>
                <w:kern w:val="0"/>
                <w:sz w:val="24"/>
              </w:rPr>
            </w:pPr>
            <w:r>
              <w:rPr>
                <w:kern w:val="0"/>
                <w:sz w:val="24"/>
              </w:rPr>
              <w:t>根据《建设项目环境影响报告表编制技术指南（污染影响类）（试行）》，土壤、声环境不开展专项评价，地下水原则上不开展专项评价，涉及集中式饮用水水源和热水、矿泉水、温泉等特殊地下水资源保护区的开展地下水专项评价工作。本项目不涉及集中式饮用水水源和热水、矿泉水、温泉等特殊地下水资源保护区，项目专项设置情况参照表1-1。</w:t>
            </w:r>
          </w:p>
          <w:p>
            <w:pPr>
              <w:autoSpaceDE w:val="0"/>
              <w:autoSpaceDN w:val="0"/>
              <w:adjustRightInd w:val="0"/>
              <w:snapToGrid w:val="0"/>
              <w:spacing w:line="400" w:lineRule="exact"/>
              <w:jc w:val="center"/>
              <w:rPr>
                <w:b/>
                <w:kern w:val="0"/>
                <w:sz w:val="24"/>
              </w:rPr>
            </w:pPr>
            <w:r>
              <w:rPr>
                <w:b/>
                <w:kern w:val="0"/>
                <w:sz w:val="24"/>
              </w:rPr>
              <w:t>表1-1</w:t>
            </w:r>
            <w:r>
              <w:rPr>
                <w:rFonts w:hint="eastAsia"/>
                <w:b/>
                <w:kern w:val="0"/>
                <w:sz w:val="24"/>
              </w:rPr>
              <w:t xml:space="preserve"> </w:t>
            </w:r>
            <w:r>
              <w:rPr>
                <w:b/>
                <w:kern w:val="0"/>
                <w:sz w:val="24"/>
              </w:rPr>
              <w:t>专项评价设置情况一览表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28" w:type="dxa"/>
                <w:left w:w="28" w:type="dxa"/>
                <w:bottom w:w="28" w:type="dxa"/>
                <w:right w:w="28" w:type="dxa"/>
              </w:tblCellMar>
            </w:tblPr>
            <w:tblGrid>
              <w:gridCol w:w="960"/>
              <w:gridCol w:w="2684"/>
              <w:gridCol w:w="2591"/>
              <w:gridCol w:w="10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pPr>
                    <w:autoSpaceDE w:val="0"/>
                    <w:autoSpaceDN w:val="0"/>
                    <w:adjustRightInd w:val="0"/>
                    <w:snapToGrid w:val="0"/>
                    <w:jc w:val="center"/>
                    <w:rPr>
                      <w:kern w:val="0"/>
                      <w:szCs w:val="21"/>
                    </w:rPr>
                  </w:pPr>
                  <w:r>
                    <w:rPr>
                      <w:kern w:val="0"/>
                      <w:szCs w:val="21"/>
                    </w:rPr>
                    <w:t>专项评价类别</w:t>
                  </w:r>
                </w:p>
              </w:tc>
              <w:tc>
                <w:tcPr>
                  <w:tcW w:w="1848" w:type="pct"/>
                  <w:tcMar>
                    <w:left w:w="57" w:type="dxa"/>
                    <w:right w:w="57" w:type="dxa"/>
                  </w:tcMar>
                  <w:vAlign w:val="center"/>
                </w:tcPr>
                <w:p>
                  <w:pPr>
                    <w:autoSpaceDE w:val="0"/>
                    <w:autoSpaceDN w:val="0"/>
                    <w:adjustRightInd w:val="0"/>
                    <w:snapToGrid w:val="0"/>
                    <w:jc w:val="center"/>
                    <w:rPr>
                      <w:kern w:val="0"/>
                      <w:szCs w:val="21"/>
                    </w:rPr>
                  </w:pPr>
                  <w:r>
                    <w:rPr>
                      <w:kern w:val="0"/>
                      <w:szCs w:val="21"/>
                    </w:rPr>
                    <w:t>设置原则</w:t>
                  </w:r>
                </w:p>
              </w:tc>
              <w:tc>
                <w:tcPr>
                  <w:tcW w:w="1784" w:type="pct"/>
                  <w:tcMar>
                    <w:left w:w="57" w:type="dxa"/>
                    <w:right w:w="57" w:type="dxa"/>
                  </w:tcMar>
                  <w:vAlign w:val="center"/>
                </w:tcPr>
                <w:p>
                  <w:pPr>
                    <w:autoSpaceDE w:val="0"/>
                    <w:autoSpaceDN w:val="0"/>
                    <w:adjustRightInd w:val="0"/>
                    <w:snapToGrid w:val="0"/>
                    <w:jc w:val="center"/>
                    <w:rPr>
                      <w:kern w:val="0"/>
                      <w:szCs w:val="21"/>
                    </w:rPr>
                  </w:pPr>
                  <w:r>
                    <w:rPr>
                      <w:kern w:val="0"/>
                      <w:szCs w:val="21"/>
                    </w:rPr>
                    <w:t>本项目情况</w:t>
                  </w:r>
                </w:p>
              </w:tc>
              <w:tc>
                <w:tcPr>
                  <w:tcW w:w="707" w:type="pct"/>
                  <w:tcMar>
                    <w:left w:w="57" w:type="dxa"/>
                    <w:right w:w="57" w:type="dxa"/>
                  </w:tcMar>
                  <w:vAlign w:val="center"/>
                </w:tcPr>
                <w:p>
                  <w:pPr>
                    <w:autoSpaceDE w:val="0"/>
                    <w:autoSpaceDN w:val="0"/>
                    <w:adjustRightInd w:val="0"/>
                    <w:snapToGrid w:val="0"/>
                    <w:jc w:val="center"/>
                    <w:rPr>
                      <w:kern w:val="0"/>
                      <w:szCs w:val="21"/>
                    </w:rPr>
                  </w:pPr>
                  <w:r>
                    <w:rPr>
                      <w:kern w:val="0"/>
                      <w:szCs w:val="21"/>
                    </w:rPr>
                    <w:t>是否设置专项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pPr>
                    <w:autoSpaceDE w:val="0"/>
                    <w:autoSpaceDN w:val="0"/>
                    <w:adjustRightInd w:val="0"/>
                    <w:snapToGrid w:val="0"/>
                    <w:jc w:val="center"/>
                    <w:rPr>
                      <w:kern w:val="0"/>
                      <w:szCs w:val="21"/>
                    </w:rPr>
                  </w:pPr>
                  <w:r>
                    <w:rPr>
                      <w:kern w:val="0"/>
                      <w:szCs w:val="21"/>
                    </w:rPr>
                    <w:t>大气</w:t>
                  </w:r>
                </w:p>
              </w:tc>
              <w:tc>
                <w:tcPr>
                  <w:tcW w:w="1848" w:type="pct"/>
                  <w:tcMar>
                    <w:left w:w="57" w:type="dxa"/>
                    <w:right w:w="57" w:type="dxa"/>
                  </w:tcMar>
                  <w:vAlign w:val="center"/>
                </w:tcPr>
                <w:p>
                  <w:pPr>
                    <w:autoSpaceDE w:val="0"/>
                    <w:autoSpaceDN w:val="0"/>
                    <w:adjustRightInd w:val="0"/>
                    <w:snapToGrid w:val="0"/>
                    <w:rPr>
                      <w:kern w:val="0"/>
                      <w:szCs w:val="21"/>
                    </w:rPr>
                  </w:pPr>
                  <w:r>
                    <w:rPr>
                      <w:szCs w:val="21"/>
                    </w:rPr>
                    <w:t>排放废气含有毒有害污染物</w:t>
                  </w:r>
                  <w:r>
                    <w:rPr>
                      <w:rFonts w:hint="eastAsia" w:ascii="宋体" w:hAnsi="宋体" w:cs="宋体"/>
                      <w:szCs w:val="21"/>
                      <w:vertAlign w:val="superscript"/>
                    </w:rPr>
                    <w:t>①</w:t>
                  </w:r>
                  <w:r>
                    <w:rPr>
                      <w:szCs w:val="21"/>
                    </w:rPr>
                    <w:t>、二噁英、苯并[a]芘、氰化物、氯气且厂界外500米范围内有环境空气保护目标</w:t>
                  </w:r>
                  <w:r>
                    <w:rPr>
                      <w:rFonts w:hint="eastAsia" w:ascii="宋体" w:hAnsi="宋体" w:cs="宋体"/>
                      <w:szCs w:val="21"/>
                      <w:vertAlign w:val="superscript"/>
                    </w:rPr>
                    <w:t>②</w:t>
                  </w:r>
                  <w:r>
                    <w:rPr>
                      <w:szCs w:val="21"/>
                    </w:rPr>
                    <w:t>的建设项目。</w:t>
                  </w:r>
                </w:p>
              </w:tc>
              <w:tc>
                <w:tcPr>
                  <w:tcW w:w="1784" w:type="pct"/>
                  <w:tcMar>
                    <w:left w:w="57" w:type="dxa"/>
                    <w:right w:w="57" w:type="dxa"/>
                  </w:tcMar>
                  <w:vAlign w:val="center"/>
                </w:tcPr>
                <w:p>
                  <w:pPr>
                    <w:autoSpaceDE w:val="0"/>
                    <w:autoSpaceDN w:val="0"/>
                    <w:adjustRightInd w:val="0"/>
                    <w:snapToGrid w:val="0"/>
                    <w:rPr>
                      <w:kern w:val="0"/>
                      <w:szCs w:val="21"/>
                    </w:rPr>
                  </w:pPr>
                  <w:r>
                    <w:rPr>
                      <w:szCs w:val="21"/>
                    </w:rPr>
                    <w:t>本项目不涉及大气专项设置原则中提及的有毒有害物质。</w:t>
                  </w:r>
                </w:p>
              </w:tc>
              <w:tc>
                <w:tcPr>
                  <w:tcW w:w="707" w:type="pct"/>
                  <w:tcMar>
                    <w:left w:w="57" w:type="dxa"/>
                    <w:right w:w="57" w:type="dxa"/>
                  </w:tcMar>
                  <w:vAlign w:val="center"/>
                </w:tcPr>
                <w:p>
                  <w:pPr>
                    <w:autoSpaceDE w:val="0"/>
                    <w:autoSpaceDN w:val="0"/>
                    <w:adjustRightInd w:val="0"/>
                    <w:snapToGrid w:val="0"/>
                    <w:jc w:val="center"/>
                    <w:rPr>
                      <w:kern w:val="0"/>
                      <w:szCs w:val="21"/>
                    </w:rPr>
                  </w:pPr>
                  <w:r>
                    <w:rPr>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634" w:hRule="atLeast"/>
              </w:trPr>
              <w:tc>
                <w:tcPr>
                  <w:tcW w:w="661" w:type="pct"/>
                  <w:tcMar>
                    <w:left w:w="57" w:type="dxa"/>
                    <w:right w:w="57" w:type="dxa"/>
                  </w:tcMar>
                  <w:vAlign w:val="center"/>
                </w:tcPr>
                <w:p>
                  <w:pPr>
                    <w:autoSpaceDE w:val="0"/>
                    <w:autoSpaceDN w:val="0"/>
                    <w:adjustRightInd w:val="0"/>
                    <w:snapToGrid w:val="0"/>
                    <w:jc w:val="center"/>
                    <w:rPr>
                      <w:kern w:val="0"/>
                      <w:szCs w:val="21"/>
                    </w:rPr>
                  </w:pPr>
                  <w:r>
                    <w:rPr>
                      <w:kern w:val="0"/>
                      <w:szCs w:val="21"/>
                    </w:rPr>
                    <w:t>地表水</w:t>
                  </w:r>
                </w:p>
              </w:tc>
              <w:tc>
                <w:tcPr>
                  <w:tcW w:w="1848" w:type="pct"/>
                  <w:tcMar>
                    <w:left w:w="57" w:type="dxa"/>
                    <w:right w:w="57" w:type="dxa"/>
                  </w:tcMar>
                  <w:vAlign w:val="center"/>
                </w:tcPr>
                <w:p>
                  <w:pPr>
                    <w:autoSpaceDE w:val="0"/>
                    <w:autoSpaceDN w:val="0"/>
                    <w:adjustRightInd w:val="0"/>
                    <w:snapToGrid w:val="0"/>
                    <w:rPr>
                      <w:kern w:val="0"/>
                      <w:szCs w:val="21"/>
                    </w:rPr>
                  </w:pPr>
                  <w:r>
                    <w:t>新增工业废水直排建设项目（槽罐车外送污水处理厂的除外）；新增废水直排的污水集中处理厂。</w:t>
                  </w:r>
                </w:p>
              </w:tc>
              <w:tc>
                <w:tcPr>
                  <w:tcW w:w="1784" w:type="pct"/>
                  <w:tcMar>
                    <w:left w:w="57" w:type="dxa"/>
                    <w:right w:w="57" w:type="dxa"/>
                  </w:tcMar>
                  <w:vAlign w:val="center"/>
                </w:tcPr>
                <w:p>
                  <w:pPr>
                    <w:autoSpaceDE w:val="0"/>
                    <w:autoSpaceDN w:val="0"/>
                    <w:adjustRightInd w:val="0"/>
                    <w:snapToGrid w:val="0"/>
                  </w:pPr>
                  <w:r>
                    <w:t>本项目不属于工业废水直排建设项目以及废水直排的污水集中处理厂。</w:t>
                  </w:r>
                </w:p>
              </w:tc>
              <w:tc>
                <w:tcPr>
                  <w:tcW w:w="707" w:type="pct"/>
                  <w:tcMar>
                    <w:left w:w="57" w:type="dxa"/>
                    <w:right w:w="57" w:type="dxa"/>
                  </w:tcMar>
                  <w:vAlign w:val="center"/>
                </w:tcPr>
                <w:p>
                  <w:pPr>
                    <w:autoSpaceDE w:val="0"/>
                    <w:autoSpaceDN w:val="0"/>
                    <w:adjustRightInd w:val="0"/>
                    <w:snapToGrid w:val="0"/>
                    <w:jc w:val="center"/>
                    <w:rPr>
                      <w:kern w:val="0"/>
                      <w:szCs w:val="21"/>
                    </w:rPr>
                  </w:pPr>
                  <w:r>
                    <w:rPr>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pPr>
                    <w:autoSpaceDE w:val="0"/>
                    <w:autoSpaceDN w:val="0"/>
                    <w:adjustRightInd w:val="0"/>
                    <w:snapToGrid w:val="0"/>
                    <w:jc w:val="center"/>
                    <w:rPr>
                      <w:kern w:val="0"/>
                      <w:szCs w:val="21"/>
                    </w:rPr>
                  </w:pPr>
                  <w:r>
                    <w:rPr>
                      <w:kern w:val="0"/>
                      <w:szCs w:val="21"/>
                    </w:rPr>
                    <w:t>环境风险</w:t>
                  </w:r>
                </w:p>
              </w:tc>
              <w:tc>
                <w:tcPr>
                  <w:tcW w:w="1848" w:type="pct"/>
                  <w:tcMar>
                    <w:left w:w="57" w:type="dxa"/>
                    <w:right w:w="57" w:type="dxa"/>
                  </w:tcMar>
                  <w:vAlign w:val="center"/>
                </w:tcPr>
                <w:p>
                  <w:pPr>
                    <w:autoSpaceDE w:val="0"/>
                    <w:autoSpaceDN w:val="0"/>
                    <w:adjustRightInd w:val="0"/>
                    <w:snapToGrid w:val="0"/>
                    <w:rPr>
                      <w:kern w:val="0"/>
                      <w:szCs w:val="21"/>
                    </w:rPr>
                  </w:pPr>
                  <w:r>
                    <w:t>有毒有害和易燃易爆危险物质存储量超过临界量</w:t>
                  </w:r>
                  <w:r>
                    <w:rPr>
                      <w:rFonts w:hint="eastAsia" w:ascii="宋体" w:hAnsi="宋体" w:cs="宋体"/>
                      <w:vertAlign w:val="superscript"/>
                    </w:rPr>
                    <w:t>③</w:t>
                  </w:r>
                  <w:r>
                    <w:t>的建设项目。</w:t>
                  </w:r>
                </w:p>
              </w:tc>
              <w:tc>
                <w:tcPr>
                  <w:tcW w:w="1784" w:type="pct"/>
                  <w:tcMar>
                    <w:left w:w="57" w:type="dxa"/>
                    <w:right w:w="57" w:type="dxa"/>
                  </w:tcMar>
                  <w:vAlign w:val="center"/>
                </w:tcPr>
                <w:p>
                  <w:pPr>
                    <w:autoSpaceDE w:val="0"/>
                    <w:autoSpaceDN w:val="0"/>
                    <w:adjustRightInd w:val="0"/>
                    <w:snapToGrid w:val="0"/>
                    <w:rPr>
                      <w:kern w:val="0"/>
                      <w:szCs w:val="21"/>
                    </w:rPr>
                  </w:pPr>
                  <w:r>
                    <w:t>本项目不涉及有毒有害和易燃易爆危险物质。</w:t>
                  </w:r>
                </w:p>
              </w:tc>
              <w:tc>
                <w:tcPr>
                  <w:tcW w:w="707" w:type="pct"/>
                  <w:tcMar>
                    <w:left w:w="57" w:type="dxa"/>
                    <w:right w:w="57" w:type="dxa"/>
                  </w:tcMar>
                  <w:vAlign w:val="center"/>
                </w:tcPr>
                <w:p>
                  <w:pPr>
                    <w:autoSpaceDE w:val="0"/>
                    <w:autoSpaceDN w:val="0"/>
                    <w:adjustRightInd w:val="0"/>
                    <w:snapToGrid w:val="0"/>
                    <w:jc w:val="center"/>
                    <w:rPr>
                      <w:kern w:val="0"/>
                      <w:szCs w:val="21"/>
                    </w:rPr>
                  </w:pPr>
                  <w:r>
                    <w:rPr>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pPr>
                    <w:autoSpaceDE w:val="0"/>
                    <w:autoSpaceDN w:val="0"/>
                    <w:adjustRightInd w:val="0"/>
                    <w:snapToGrid w:val="0"/>
                    <w:jc w:val="center"/>
                    <w:rPr>
                      <w:kern w:val="0"/>
                      <w:szCs w:val="21"/>
                    </w:rPr>
                  </w:pPr>
                  <w:r>
                    <w:rPr>
                      <w:kern w:val="0"/>
                      <w:szCs w:val="21"/>
                    </w:rPr>
                    <w:t>生态</w:t>
                  </w:r>
                </w:p>
              </w:tc>
              <w:tc>
                <w:tcPr>
                  <w:tcW w:w="1848" w:type="pct"/>
                  <w:tcMar>
                    <w:left w:w="57" w:type="dxa"/>
                    <w:right w:w="57" w:type="dxa"/>
                  </w:tcMar>
                  <w:vAlign w:val="center"/>
                </w:tcPr>
                <w:p>
                  <w:pPr>
                    <w:autoSpaceDE w:val="0"/>
                    <w:autoSpaceDN w:val="0"/>
                    <w:adjustRightInd w:val="0"/>
                    <w:snapToGrid w:val="0"/>
                    <w:rPr>
                      <w:kern w:val="0"/>
                      <w:szCs w:val="21"/>
                    </w:rPr>
                  </w:pPr>
                  <w:r>
                    <w:t>取水口下游500米范围内有重要水生生物的自然产卵场、索饵场、越冬场和洄游通道的新增河道取水的污染类建设项目。</w:t>
                  </w:r>
                </w:p>
              </w:tc>
              <w:tc>
                <w:tcPr>
                  <w:tcW w:w="1784" w:type="pct"/>
                  <w:tcMar>
                    <w:left w:w="57" w:type="dxa"/>
                    <w:right w:w="57" w:type="dxa"/>
                  </w:tcMar>
                  <w:vAlign w:val="center"/>
                </w:tcPr>
                <w:p>
                  <w:pPr>
                    <w:autoSpaceDE w:val="0"/>
                    <w:autoSpaceDN w:val="0"/>
                    <w:adjustRightInd w:val="0"/>
                    <w:snapToGrid w:val="0"/>
                    <w:jc w:val="center"/>
                    <w:rPr>
                      <w:kern w:val="0"/>
                      <w:szCs w:val="21"/>
                    </w:rPr>
                  </w:pPr>
                  <w:r>
                    <w:t>本项目不涉及取水口。</w:t>
                  </w:r>
                </w:p>
              </w:tc>
              <w:tc>
                <w:tcPr>
                  <w:tcW w:w="707" w:type="pct"/>
                  <w:tcMar>
                    <w:left w:w="57" w:type="dxa"/>
                    <w:right w:w="57" w:type="dxa"/>
                  </w:tcMar>
                  <w:vAlign w:val="center"/>
                </w:tcPr>
                <w:p>
                  <w:pPr>
                    <w:autoSpaceDE w:val="0"/>
                    <w:autoSpaceDN w:val="0"/>
                    <w:adjustRightInd w:val="0"/>
                    <w:snapToGrid w:val="0"/>
                    <w:jc w:val="center"/>
                    <w:rPr>
                      <w:kern w:val="0"/>
                      <w:szCs w:val="21"/>
                    </w:rPr>
                  </w:pPr>
                  <w:r>
                    <w:rPr>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pPr>
                    <w:autoSpaceDE w:val="0"/>
                    <w:autoSpaceDN w:val="0"/>
                    <w:adjustRightInd w:val="0"/>
                    <w:snapToGrid w:val="0"/>
                    <w:jc w:val="center"/>
                    <w:rPr>
                      <w:kern w:val="0"/>
                      <w:szCs w:val="21"/>
                    </w:rPr>
                  </w:pPr>
                  <w:r>
                    <w:rPr>
                      <w:kern w:val="0"/>
                      <w:szCs w:val="21"/>
                    </w:rPr>
                    <w:t>海洋</w:t>
                  </w:r>
                </w:p>
              </w:tc>
              <w:tc>
                <w:tcPr>
                  <w:tcW w:w="1848" w:type="pct"/>
                  <w:tcMar>
                    <w:left w:w="57" w:type="dxa"/>
                    <w:right w:w="57" w:type="dxa"/>
                  </w:tcMar>
                  <w:vAlign w:val="center"/>
                </w:tcPr>
                <w:p>
                  <w:pPr>
                    <w:autoSpaceDE w:val="0"/>
                    <w:autoSpaceDN w:val="0"/>
                    <w:adjustRightInd w:val="0"/>
                    <w:snapToGrid w:val="0"/>
                    <w:rPr>
                      <w:kern w:val="0"/>
                      <w:szCs w:val="21"/>
                    </w:rPr>
                  </w:pPr>
                  <w:r>
                    <w:t>直接向海排放污染物的海洋工程建设项目。</w:t>
                  </w:r>
                </w:p>
              </w:tc>
              <w:tc>
                <w:tcPr>
                  <w:tcW w:w="1784" w:type="pct"/>
                  <w:tcMar>
                    <w:left w:w="57" w:type="dxa"/>
                    <w:right w:w="57" w:type="dxa"/>
                  </w:tcMar>
                  <w:vAlign w:val="center"/>
                </w:tcPr>
                <w:p>
                  <w:pPr>
                    <w:autoSpaceDE w:val="0"/>
                    <w:autoSpaceDN w:val="0"/>
                    <w:adjustRightInd w:val="0"/>
                    <w:snapToGrid w:val="0"/>
                    <w:rPr>
                      <w:kern w:val="0"/>
                      <w:szCs w:val="21"/>
                    </w:rPr>
                  </w:pPr>
                  <w:r>
                    <w:t>本项目不属于向海洋排放污染物的海洋工程建设项目。</w:t>
                  </w:r>
                </w:p>
              </w:tc>
              <w:tc>
                <w:tcPr>
                  <w:tcW w:w="707" w:type="pct"/>
                  <w:tcMar>
                    <w:left w:w="57" w:type="dxa"/>
                    <w:right w:w="57" w:type="dxa"/>
                  </w:tcMar>
                  <w:vAlign w:val="center"/>
                </w:tcPr>
                <w:p>
                  <w:pPr>
                    <w:autoSpaceDE w:val="0"/>
                    <w:autoSpaceDN w:val="0"/>
                    <w:adjustRightInd w:val="0"/>
                    <w:snapToGrid w:val="0"/>
                    <w:jc w:val="center"/>
                    <w:rPr>
                      <w:kern w:val="0"/>
                      <w:szCs w:val="21"/>
                    </w:rPr>
                  </w:pPr>
                  <w:r>
                    <w:rPr>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5000" w:type="pct"/>
                  <w:gridSpan w:val="4"/>
                  <w:tcMar>
                    <w:left w:w="57" w:type="dxa"/>
                    <w:right w:w="57" w:type="dxa"/>
                  </w:tcMar>
                  <w:vAlign w:val="center"/>
                </w:tcPr>
                <w:p>
                  <w:pPr>
                    <w:autoSpaceDE w:val="0"/>
                    <w:autoSpaceDN w:val="0"/>
                    <w:adjustRightInd w:val="0"/>
                    <w:snapToGrid w:val="0"/>
                    <w:rPr>
                      <w:sz w:val="18"/>
                      <w:szCs w:val="18"/>
                    </w:rPr>
                  </w:pPr>
                  <w:r>
                    <w:rPr>
                      <w:sz w:val="18"/>
                      <w:szCs w:val="18"/>
                    </w:rPr>
                    <w:t>注：</w:t>
                  </w:r>
                  <w:r>
                    <w:rPr>
                      <w:rFonts w:hint="eastAsia" w:ascii="宋体" w:hAnsi="宋体" w:cs="宋体"/>
                      <w:sz w:val="18"/>
                      <w:szCs w:val="18"/>
                    </w:rPr>
                    <w:t>①</w:t>
                  </w:r>
                  <w:r>
                    <w:rPr>
                      <w:sz w:val="18"/>
                      <w:szCs w:val="18"/>
                    </w:rPr>
                    <w:t>废气中有毒有害污染物指纳入《有毒有害大气污染物名录》的污染物（不包括无排放标准的污染物）。</w:t>
                  </w:r>
                </w:p>
                <w:p>
                  <w:pPr>
                    <w:autoSpaceDE w:val="0"/>
                    <w:autoSpaceDN w:val="0"/>
                    <w:adjustRightInd w:val="0"/>
                    <w:snapToGrid w:val="0"/>
                    <w:rPr>
                      <w:sz w:val="18"/>
                      <w:szCs w:val="18"/>
                    </w:rPr>
                  </w:pPr>
                  <w:r>
                    <w:rPr>
                      <w:rFonts w:hint="eastAsia" w:ascii="宋体" w:hAnsi="宋体" w:cs="宋体"/>
                      <w:sz w:val="18"/>
                      <w:szCs w:val="18"/>
                    </w:rPr>
                    <w:t>②</w:t>
                  </w:r>
                  <w:r>
                    <w:rPr>
                      <w:sz w:val="18"/>
                      <w:szCs w:val="18"/>
                    </w:rPr>
                    <w:t>环境空气保护目标指自然保护区、风景名胜区、居住区、文化区和农村地区中人群较集中的区域。</w:t>
                  </w:r>
                </w:p>
                <w:p>
                  <w:pPr>
                    <w:autoSpaceDE w:val="0"/>
                    <w:autoSpaceDN w:val="0"/>
                    <w:adjustRightInd w:val="0"/>
                    <w:snapToGrid w:val="0"/>
                    <w:rPr>
                      <w:kern w:val="0"/>
                      <w:szCs w:val="21"/>
                    </w:rPr>
                  </w:pPr>
                  <w:r>
                    <w:rPr>
                      <w:rFonts w:hint="eastAsia" w:ascii="宋体" w:hAnsi="宋体" w:cs="宋体"/>
                      <w:sz w:val="18"/>
                      <w:szCs w:val="18"/>
                    </w:rPr>
                    <w:t>③</w:t>
                  </w:r>
                  <w:r>
                    <w:rPr>
                      <w:sz w:val="18"/>
                      <w:szCs w:val="18"/>
                    </w:rPr>
                    <w:t>临界量及其计算方法参考《建设项目环境风险评价技术导则》（HJ 169）附录B、附录C。</w:t>
                  </w:r>
                </w:p>
              </w:tc>
            </w:tr>
          </w:tbl>
          <w:p>
            <w:pPr>
              <w:pStyle w:val="52"/>
              <w:spacing w:line="500" w:lineRule="exact"/>
              <w:ind w:firstLine="480"/>
              <w:rPr>
                <w:rFonts w:cs="Times New Roman"/>
                <w:color w:val="auto"/>
                <w:sz w:val="24"/>
              </w:rPr>
            </w:pPr>
            <w:r>
              <w:rPr>
                <w:rFonts w:hint="eastAsia" w:cs="Times New Roman"/>
                <w:color w:val="auto"/>
                <w:sz w:val="24"/>
              </w:rPr>
              <w:t>根据《矿产资源开发利用辐射环境监督管理名录》，《名录》中的矿产资源开发利用单位应当在环境影响评价文件中给出原矿、中间产品、尾矿（渣）或者其他残留物中铀（钍）系单个核素含量是否超过1贝可/克（</w:t>
            </w:r>
            <w:r>
              <w:rPr>
                <w:rFonts w:cs="Times New Roman"/>
                <w:color w:val="auto"/>
                <w:sz w:val="24"/>
              </w:rPr>
              <w:t>1B</w:t>
            </w:r>
            <w:r>
              <w:rPr>
                <w:rFonts w:hint="eastAsia" w:cs="Times New Roman"/>
                <w:color w:val="auto"/>
                <w:sz w:val="24"/>
              </w:rPr>
              <w:t>q</w:t>
            </w:r>
            <w:r>
              <w:rPr>
                <w:rFonts w:cs="Times New Roman"/>
                <w:color w:val="auto"/>
                <w:sz w:val="24"/>
              </w:rPr>
              <w:t>/g</w:t>
            </w:r>
            <w:r>
              <w:rPr>
                <w:rFonts w:hint="eastAsia" w:cs="Times New Roman"/>
                <w:color w:val="auto"/>
                <w:sz w:val="24"/>
              </w:rPr>
              <w:t>）的结论。</w:t>
            </w:r>
          </w:p>
          <w:p>
            <w:pPr>
              <w:pStyle w:val="52"/>
              <w:spacing w:line="500" w:lineRule="exact"/>
              <w:ind w:firstLine="480"/>
              <w:rPr>
                <w:rFonts w:cs="Times New Roman"/>
                <w:color w:val="auto"/>
                <w:sz w:val="24"/>
              </w:rPr>
            </w:pPr>
            <w:r>
              <w:rPr>
                <w:rFonts w:hint="eastAsia" w:cs="Times New Roman"/>
                <w:color w:val="auto"/>
                <w:sz w:val="24"/>
              </w:rPr>
              <w:t>己纳入《名录》，并且原矿、中间产品、尾矿（渣）或者其他残留物中铀（钍）系单个核素含量超过1贝可/克（</w:t>
            </w:r>
            <w:r>
              <w:rPr>
                <w:rFonts w:cs="Times New Roman"/>
                <w:color w:val="auto"/>
                <w:sz w:val="24"/>
              </w:rPr>
              <w:t>1Bq/g</w:t>
            </w:r>
            <w:r>
              <w:rPr>
                <w:rFonts w:hint="eastAsia" w:cs="Times New Roman"/>
                <w:color w:val="auto"/>
                <w:sz w:val="24"/>
              </w:rPr>
              <w:t>）的矿产资源开发利用项目建设单位在开发利用或开展污染场地治理修复时，应当组织编制辐射环境影响评价专篇，并纳入环境影响评价文件同步报批；建设单位在竣工环境保护验收时，应当组织对配套建设的辐射环境保护设施进行验收，组织编制辐射环境保护验收监测报告并纳入验收监测报告。</w:t>
            </w:r>
          </w:p>
          <w:p>
            <w:pPr>
              <w:pStyle w:val="52"/>
              <w:spacing w:line="500" w:lineRule="exact"/>
              <w:ind w:firstLine="480"/>
              <w:rPr>
                <w:color w:val="auto"/>
                <w:sz w:val="24"/>
              </w:rPr>
            </w:pPr>
            <w:r>
              <w:rPr>
                <w:rFonts w:hint="eastAsia" w:cs="Times New Roman"/>
                <w:color w:val="auto"/>
                <w:sz w:val="24"/>
              </w:rPr>
              <w:t>根据附件6原煤煤质样品监测报告，煤样中</w:t>
            </w:r>
            <w:r>
              <w:rPr>
                <w:rFonts w:hint="eastAsia" w:cs="Times New Roman"/>
                <w:color w:val="auto"/>
                <w:sz w:val="24"/>
                <w:vertAlign w:val="superscript"/>
              </w:rPr>
              <w:t>238</w:t>
            </w:r>
            <w:r>
              <w:rPr>
                <w:rFonts w:hint="eastAsia" w:cs="Times New Roman"/>
                <w:color w:val="auto"/>
                <w:sz w:val="24"/>
              </w:rPr>
              <w:t>U为0.026Bq/g，</w:t>
            </w:r>
            <w:r>
              <w:rPr>
                <w:rFonts w:hint="eastAsia" w:cs="Times New Roman"/>
                <w:color w:val="auto"/>
                <w:sz w:val="24"/>
                <w:vertAlign w:val="superscript"/>
              </w:rPr>
              <w:t>232</w:t>
            </w:r>
            <w:r>
              <w:rPr>
                <w:rFonts w:hint="eastAsia" w:cs="Times New Roman"/>
                <w:color w:val="auto"/>
                <w:sz w:val="24"/>
              </w:rPr>
              <w:t>Th为0.036Bq/g。检测结果均小于1贝可/克（</w:t>
            </w:r>
            <w:r>
              <w:rPr>
                <w:rFonts w:cs="Times New Roman"/>
                <w:color w:val="auto"/>
                <w:sz w:val="24"/>
              </w:rPr>
              <w:t>1Bq/g</w:t>
            </w:r>
            <w:r>
              <w:rPr>
                <w:rFonts w:hint="eastAsia" w:cs="Times New Roman"/>
                <w:color w:val="auto"/>
                <w:sz w:val="24"/>
              </w:rPr>
              <w:t>），无需编制辐射环境影响评价专篇。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2" w:hRule="atLeast"/>
          <w:jc w:val="center"/>
        </w:trPr>
        <w:tc>
          <w:tcPr>
            <w:tcW w:w="1833" w:type="dxa"/>
            <w:gridSpan w:val="2"/>
            <w:vAlign w:val="center"/>
          </w:tcPr>
          <w:p>
            <w:pPr>
              <w:jc w:val="center"/>
              <w:rPr>
                <w:kern w:val="0"/>
                <w:sz w:val="24"/>
              </w:rPr>
            </w:pPr>
            <w:r>
              <w:rPr>
                <w:sz w:val="24"/>
              </w:rPr>
              <w:t>规划情况</w:t>
            </w:r>
          </w:p>
        </w:tc>
        <w:tc>
          <w:tcPr>
            <w:tcW w:w="7037" w:type="dxa"/>
            <w:gridSpan w:val="3"/>
            <w:vAlign w:val="center"/>
          </w:tcPr>
          <w:p>
            <w:pPr>
              <w:spacing w:line="360" w:lineRule="auto"/>
              <w:jc w:val="center"/>
              <w:rPr>
                <w:sz w:val="24"/>
              </w:rPr>
            </w:pPr>
            <w:r>
              <w:rPr>
                <w:rFonts w:hint="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2" w:hRule="atLeast"/>
          <w:jc w:val="center"/>
        </w:trPr>
        <w:tc>
          <w:tcPr>
            <w:tcW w:w="1833" w:type="dxa"/>
            <w:gridSpan w:val="2"/>
            <w:vAlign w:val="center"/>
          </w:tcPr>
          <w:p>
            <w:pPr>
              <w:jc w:val="center"/>
              <w:rPr>
                <w:sz w:val="24"/>
              </w:rPr>
            </w:pPr>
            <w:r>
              <w:rPr>
                <w:sz w:val="24"/>
              </w:rPr>
              <w:t>规划环境影响</w:t>
            </w:r>
          </w:p>
          <w:p>
            <w:pPr>
              <w:jc w:val="center"/>
              <w:rPr>
                <w:kern w:val="0"/>
                <w:sz w:val="24"/>
              </w:rPr>
            </w:pPr>
            <w:r>
              <w:rPr>
                <w:sz w:val="24"/>
              </w:rPr>
              <w:t>评价情况</w:t>
            </w:r>
          </w:p>
        </w:tc>
        <w:tc>
          <w:tcPr>
            <w:tcW w:w="7037" w:type="dxa"/>
            <w:gridSpan w:val="3"/>
            <w:vAlign w:val="center"/>
          </w:tcPr>
          <w:p>
            <w:pPr>
              <w:spacing w:line="360" w:lineRule="auto"/>
              <w:jc w:val="center"/>
              <w:rPr>
                <w:sz w:val="24"/>
              </w:rPr>
            </w:pPr>
            <w:r>
              <w:rPr>
                <w:rFonts w:hint="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33" w:type="dxa"/>
            <w:gridSpan w:val="2"/>
            <w:vAlign w:val="center"/>
          </w:tcPr>
          <w:p>
            <w:pPr>
              <w:jc w:val="center"/>
              <w:rPr>
                <w:kern w:val="0"/>
                <w:sz w:val="24"/>
              </w:rPr>
            </w:pPr>
            <w:r>
              <w:rPr>
                <w:kern w:val="0"/>
                <w:sz w:val="24"/>
              </w:rPr>
              <w:t>规划及规划环境影响评价符合性分析</w:t>
            </w:r>
          </w:p>
        </w:tc>
        <w:tc>
          <w:tcPr>
            <w:tcW w:w="7037" w:type="dxa"/>
            <w:gridSpan w:val="3"/>
            <w:vAlign w:val="center"/>
          </w:tcPr>
          <w:p>
            <w:pPr>
              <w:pStyle w:val="52"/>
              <w:ind w:firstLine="0" w:firstLineChars="0"/>
              <w:jc w:val="center"/>
              <w:rPr>
                <w:rFonts w:cs="Times New Roman"/>
                <w:color w:val="auto"/>
                <w:sz w:val="24"/>
              </w:rPr>
            </w:pPr>
            <w:r>
              <w:rPr>
                <w:rFonts w:hint="eastAsia" w:cs="Times New Roman"/>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48" w:hRule="atLeast"/>
          <w:jc w:val="center"/>
        </w:trPr>
        <w:tc>
          <w:tcPr>
            <w:tcW w:w="983" w:type="dxa"/>
            <w:vAlign w:val="center"/>
          </w:tcPr>
          <w:p>
            <w:pPr>
              <w:jc w:val="center"/>
              <w:rPr>
                <w:kern w:val="0"/>
                <w:sz w:val="24"/>
              </w:rPr>
            </w:pPr>
            <w:r>
              <w:rPr>
                <w:kern w:val="0"/>
                <w:sz w:val="24"/>
              </w:rPr>
              <w:t>其他符合性分析</w:t>
            </w:r>
          </w:p>
        </w:tc>
        <w:tc>
          <w:tcPr>
            <w:tcW w:w="7887" w:type="dxa"/>
            <w:gridSpan w:val="4"/>
            <w:vAlign w:val="center"/>
          </w:tcPr>
          <w:p>
            <w:pPr>
              <w:pStyle w:val="85"/>
              <w:ind w:firstLine="482"/>
              <w:rPr>
                <w:rFonts w:eastAsia="宋体"/>
              </w:rPr>
            </w:pPr>
            <w:r>
              <w:rPr>
                <w:rFonts w:eastAsia="宋体"/>
              </w:rPr>
              <w:t>一、产业政策相符性分析</w:t>
            </w:r>
          </w:p>
          <w:p>
            <w:pPr>
              <w:pStyle w:val="52"/>
              <w:spacing w:line="500" w:lineRule="exact"/>
              <w:ind w:firstLine="480"/>
              <w:rPr>
                <w:rFonts w:cs="Times New Roman"/>
                <w:color w:val="auto"/>
                <w:sz w:val="24"/>
              </w:rPr>
            </w:pPr>
            <w:r>
              <w:rPr>
                <w:rFonts w:cs="Times New Roman"/>
                <w:color w:val="auto"/>
                <w:sz w:val="24"/>
              </w:rPr>
              <w:t>项目所用设备及产品无《产业结构调整指导目录（20</w:t>
            </w:r>
            <w:r>
              <w:rPr>
                <w:rFonts w:hint="eastAsia" w:cs="Times New Roman"/>
                <w:color w:val="auto"/>
                <w:sz w:val="24"/>
              </w:rPr>
              <w:t>24</w:t>
            </w:r>
            <w:r>
              <w:rPr>
                <w:rFonts w:cs="Times New Roman"/>
                <w:color w:val="auto"/>
                <w:sz w:val="24"/>
              </w:rPr>
              <w:t>年本）》中限制类中生产装置设备、淘汰类中落后生产工艺装备、落后产品，本项目不属于鼓励类、限制类和淘汰类</w:t>
            </w:r>
            <w:r>
              <w:rPr>
                <w:rFonts w:hint="eastAsia" w:cs="Times New Roman"/>
                <w:color w:val="auto"/>
                <w:sz w:val="24"/>
              </w:rPr>
              <w:t>，本项目为允许类项目。</w:t>
            </w:r>
          </w:p>
          <w:p>
            <w:pPr>
              <w:pStyle w:val="52"/>
              <w:spacing w:line="500" w:lineRule="exact"/>
              <w:ind w:firstLine="480"/>
              <w:rPr>
                <w:rFonts w:cs="Times New Roman"/>
                <w:color w:val="auto"/>
                <w:sz w:val="24"/>
              </w:rPr>
            </w:pPr>
            <w:r>
              <w:rPr>
                <w:rFonts w:cs="Times New Roman"/>
                <w:color w:val="auto"/>
                <w:sz w:val="24"/>
              </w:rPr>
              <w:t>项目所涉及行业性、领域性、区域性等方面无《关于印发&lt;市场准入负面清单（2022年版）&gt;的通知》中违规另设市场准入行政审批情况。</w:t>
            </w:r>
          </w:p>
          <w:p>
            <w:pPr>
              <w:pStyle w:val="52"/>
              <w:spacing w:line="500" w:lineRule="exact"/>
              <w:ind w:firstLine="480"/>
              <w:rPr>
                <w:rFonts w:cs="Times New Roman"/>
                <w:color w:val="auto"/>
                <w:sz w:val="24"/>
              </w:rPr>
            </w:pPr>
            <w:r>
              <w:rPr>
                <w:rFonts w:cs="Times New Roman"/>
                <w:color w:val="auto"/>
                <w:sz w:val="24"/>
              </w:rPr>
              <w:t>综上所述，本项目建设符合国家产业政策要求。</w:t>
            </w:r>
          </w:p>
          <w:p>
            <w:pPr>
              <w:pStyle w:val="85"/>
              <w:ind w:firstLine="482"/>
              <w:rPr>
                <w:rFonts w:eastAsia="宋体"/>
              </w:rPr>
            </w:pPr>
            <w:r>
              <w:rPr>
                <w:rFonts w:eastAsia="宋体"/>
              </w:rPr>
              <w:t>二、项目与</w:t>
            </w:r>
            <w:r>
              <w:rPr>
                <w:rFonts w:hint="eastAsia" w:eastAsia="宋体"/>
              </w:rPr>
              <w:t>生态环境分区管控</w:t>
            </w:r>
            <w:r>
              <w:rPr>
                <w:rFonts w:eastAsia="宋体"/>
              </w:rPr>
              <w:t>符合性分析</w:t>
            </w:r>
          </w:p>
          <w:p>
            <w:pPr>
              <w:pStyle w:val="52"/>
              <w:spacing w:line="500" w:lineRule="exact"/>
              <w:ind w:firstLine="480"/>
              <w:rPr>
                <w:rFonts w:cs="Times New Roman"/>
                <w:color w:val="auto"/>
                <w:sz w:val="24"/>
              </w:rPr>
            </w:pPr>
            <w:r>
              <w:rPr>
                <w:rFonts w:hint="eastAsia" w:cs="Times New Roman"/>
                <w:color w:val="auto"/>
                <w:sz w:val="24"/>
              </w:rPr>
              <w:t>为贯彻落实《黑龙江省人民政府关于实施“三线一单”生态环境分区管控的意见》（黑政发[2020]14号）、《鹤岗市人民政府关于实施“三线一单”生态环境分区管控的意见》（鹤政发〔2021〕6号）的要求，本项目采取“一图一表一说明”的表达方式，对照分析结果，论证本项目的符合性。</w:t>
            </w:r>
          </w:p>
          <w:p>
            <w:pPr>
              <w:pStyle w:val="52"/>
              <w:spacing w:line="500" w:lineRule="exact"/>
              <w:ind w:firstLine="482"/>
              <w:rPr>
                <w:rFonts w:cs="Times New Roman"/>
                <w:b/>
                <w:bCs/>
                <w:color w:val="auto"/>
                <w:sz w:val="24"/>
              </w:rPr>
            </w:pPr>
            <w:r>
              <w:rPr>
                <w:rFonts w:hint="eastAsia" w:cs="Times New Roman"/>
                <w:b/>
                <w:bCs/>
                <w:color w:val="auto"/>
                <w:sz w:val="24"/>
              </w:rPr>
              <w:t>1、建设项目与环境管控单元对照分析示意图</w:t>
            </w:r>
          </w:p>
          <w:p>
            <w:pPr>
              <w:pStyle w:val="52"/>
              <w:spacing w:line="500" w:lineRule="exact"/>
              <w:ind w:firstLine="480"/>
              <w:rPr>
                <w:rFonts w:cs="Times New Roman"/>
                <w:color w:val="auto"/>
                <w:sz w:val="24"/>
              </w:rPr>
            </w:pPr>
            <w:r>
              <w:rPr>
                <w:rFonts w:hint="eastAsia" w:cs="Times New Roman"/>
                <w:color w:val="auto"/>
                <w:sz w:val="24"/>
                <w:lang w:val="zh-CN"/>
              </w:rPr>
              <mc:AlternateContent>
                <mc:Choice Requires="wpg">
                  <w:drawing>
                    <wp:anchor distT="0" distB="0" distL="114300" distR="114300" simplePos="0" relativeHeight="251687936" behindDoc="0" locked="0" layoutInCell="1" allowOverlap="1">
                      <wp:simplePos x="0" y="0"/>
                      <wp:positionH relativeFrom="column">
                        <wp:posOffset>227965</wp:posOffset>
                      </wp:positionH>
                      <wp:positionV relativeFrom="paragraph">
                        <wp:posOffset>755650</wp:posOffset>
                      </wp:positionV>
                      <wp:extent cx="4420870" cy="2219325"/>
                      <wp:effectExtent l="0" t="0" r="0" b="9525"/>
                      <wp:wrapTopAndBottom/>
                      <wp:docPr id="999184143" name="组合 18"/>
                      <wp:cNvGraphicFramePr/>
                      <a:graphic xmlns:a="http://schemas.openxmlformats.org/drawingml/2006/main">
                        <a:graphicData uri="http://schemas.microsoft.com/office/word/2010/wordprocessingGroup">
                          <wpg:wgp>
                            <wpg:cNvGrpSpPr/>
                            <wpg:grpSpPr>
                              <a:xfrm>
                                <a:off x="0" y="0"/>
                                <a:ext cx="4420870" cy="2219325"/>
                                <a:chOff x="0" y="0"/>
                                <a:chExt cx="5615940" cy="2936875"/>
                              </a:xfrm>
                            </wpg:grpSpPr>
                            <pic:pic xmlns:pic="http://schemas.openxmlformats.org/drawingml/2006/picture">
                              <pic:nvPicPr>
                                <pic:cNvPr id="149633649" name="图片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615940" cy="2936875"/>
                                </a:xfrm>
                                <a:prstGeom prst="rect">
                                  <a:avLst/>
                                </a:prstGeom>
                              </pic:spPr>
                            </pic:pic>
                            <pic:pic xmlns:pic="http://schemas.openxmlformats.org/drawingml/2006/picture">
                              <pic:nvPicPr>
                                <pic:cNvPr id="1297729702" name="图片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5246703" y="62144"/>
                                  <a:ext cx="311150" cy="354965"/>
                                </a:xfrm>
                                <a:prstGeom prst="rect">
                                  <a:avLst/>
                                </a:prstGeom>
                              </pic:spPr>
                            </pic:pic>
                          </wpg:wgp>
                        </a:graphicData>
                      </a:graphic>
                    </wp:anchor>
                  </w:drawing>
                </mc:Choice>
                <mc:Fallback>
                  <w:pict>
                    <v:group id="组合 18" o:spid="_x0000_s1026" o:spt="203" style="position:absolute;left:0pt;margin-left:17.95pt;margin-top:59.5pt;height:174.75pt;width:348.1pt;mso-wrap-distance-bottom:0pt;mso-wrap-distance-top:0pt;z-index:251687936;mso-width-relative:page;mso-height-relative:page;" coordsize="5615940,2936875" o:gfxdata="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ubPAAvwAAAKUBAAAZAAAAZHJzL19y&#10;ZWxzL2Uyb0RvYy54bWwucmVsc72QwYrCMBCG7wv7DmHu27Q9LLKY9iKCV3EfYEimabCZhCSKvr2B&#10;ZUFB8OZxZvi//2PW48Uv4kwpu8AKuqYFQayDcWwV/B62XysQuSAbXAKTgitlGIfPj/WeFiw1lGcX&#10;s6gUzgrmUuKPlFnP5DE3IRLXyxSSx1LHZGVEfURLsm/bb5nuGTA8MMXOKEg704M4XGNtfs0O0+Q0&#10;bYI+eeLypEI6X7srEJOlosCTcfi37JvIFuRzh+49Dt2/g3x47nAD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">
                      <o:lock v:ext="edit" aspectratio="f"/>
                      <v:shape id="图片 1" o:spid="_x0000_s1026" o:spt="75" type="#_x0000_t75" style="position:absolute;left:0;top:0;height:2936875;width:5615940;" filled="f" o:preferrelative="t" stroked="f" coordsize="21600,21600" o:gfxdata="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">
                        <v:fill on="f" focussize="0,0"/>
                        <v:stroke on="f"/>
                        <v:imagedata r:id="rId12" o:title=""/>
                        <o:lock v:ext="edit" aspectratio="t"/>
                      </v:shape>
                      <v:shape id="图片 1" o:spid="_x0000_s1026" o:spt="75" type="#_x0000_t75" style="position:absolute;left:5246703;top:62144;height:354965;width:311150;" filled="f" o:preferrelative="t" stroked="f" coordsize="21600,21600" o:gfxdata="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">
                        <v:fill on="f" focussize="0,0"/>
                        <v:stroke on="f"/>
                        <v:imagedata r:id="rId13" o:title=""/>
                        <o:lock v:ext="edit" aspectratio="t"/>
                      </v:shape>
                      <w10:wrap type="topAndBottom"/>
                    </v:group>
                  </w:pict>
                </mc:Fallback>
              </mc:AlternateContent>
            </w:r>
            <w:r>
              <w:rPr>
                <w:rFonts w:hint="eastAsia" w:cs="Times New Roman"/>
                <w:color w:val="auto"/>
                <w:sz w:val="24"/>
              </w:rPr>
              <w:t>根据《鹤岗市坦鑫洗煤厂项目生态环境分区管控分析报告》，本项目与环境管控单元叠加图见下图1-1。</w:t>
            </w:r>
          </w:p>
          <w:p>
            <w:pPr>
              <w:jc w:val="center"/>
              <w:rPr>
                <w:rFonts w:eastAsia="黑体"/>
                <w:color w:val="000000" w:themeColor="text1"/>
                <w:sz w:val="22"/>
                <w:szCs w:val="22"/>
                <w14:textFill>
                  <w14:solidFill>
                    <w14:schemeClr w14:val="tx1"/>
                  </w14:solidFill>
                </w14:textFill>
              </w:rPr>
            </w:pPr>
            <w:r>
              <w:rPr>
                <w:rFonts w:eastAsia="黑体"/>
                <w:color w:val="000000" w:themeColor="text1"/>
                <w:sz w:val="22"/>
                <w:szCs w:val="22"/>
                <w14:textFill>
                  <w14:solidFill>
                    <w14:schemeClr w14:val="tx1"/>
                  </w14:solidFill>
                </w14:textFill>
              </w:rPr>
              <w:t>图1-1 本项目与环境管控单元叠加图</w:t>
            </w:r>
          </w:p>
          <w:p>
            <w:pPr>
              <w:pStyle w:val="52"/>
              <w:spacing w:line="500" w:lineRule="exact"/>
              <w:ind w:firstLine="482"/>
              <w:rPr>
                <w:rFonts w:cs="Times New Roman"/>
                <w:b/>
                <w:bCs/>
                <w:color w:val="auto"/>
                <w:sz w:val="24"/>
              </w:rPr>
            </w:pPr>
            <w:r>
              <w:rPr>
                <w:rFonts w:cs="Times New Roman"/>
                <w:b/>
                <w:bCs/>
                <w:color w:val="auto"/>
                <w:sz w:val="24"/>
              </w:rPr>
              <w:t>2、建设项目与生态环境分区管控符合性分析</w:t>
            </w:r>
          </w:p>
          <w:p>
            <w:pPr>
              <w:pStyle w:val="52"/>
              <w:spacing w:line="500" w:lineRule="exact"/>
              <w:ind w:firstLine="480"/>
              <w:rPr>
                <w:rFonts w:cs="Times New Roman"/>
                <w:color w:val="auto"/>
                <w:sz w:val="24"/>
              </w:rPr>
            </w:pPr>
            <w:r>
              <w:rPr>
                <w:rFonts w:cs="Times New Roman"/>
                <w:color w:val="auto"/>
                <w:sz w:val="24"/>
              </w:rPr>
              <w:t>本项目与生态环境分区管控符合性分析见下表1-2。</w:t>
            </w:r>
          </w:p>
          <w:p>
            <w:pPr>
              <w:autoSpaceDE w:val="0"/>
              <w:autoSpaceDN w:val="0"/>
              <w:jc w:val="center"/>
              <w:rPr>
                <w:rFonts w:eastAsia="黑体"/>
                <w:color w:val="000000" w:themeColor="text1"/>
                <w:szCs w:val="21"/>
                <w14:textFill>
                  <w14:solidFill>
                    <w14:schemeClr w14:val="tx1"/>
                  </w14:solidFill>
                </w14:textFill>
              </w:rPr>
            </w:pPr>
            <w:r>
              <w:rPr>
                <w:rFonts w:eastAsia="黑体"/>
                <w:color w:val="000000" w:themeColor="text1"/>
                <w:szCs w:val="21"/>
                <w14:textFill>
                  <w14:solidFill>
                    <w14:schemeClr w14:val="tx1"/>
                  </w14:solidFill>
                </w14:textFill>
              </w:rPr>
              <w:t>表1-2 本项目与</w:t>
            </w:r>
            <w:r>
              <w:rPr>
                <w:b/>
                <w:bCs/>
                <w:sz w:val="24"/>
              </w:rPr>
              <w:t>生态环境分区管控</w:t>
            </w:r>
            <w:r>
              <w:rPr>
                <w:rFonts w:eastAsia="黑体"/>
                <w:color w:val="000000" w:themeColor="text1"/>
                <w:szCs w:val="21"/>
                <w14:textFill>
                  <w14:solidFill>
                    <w14:schemeClr w14:val="tx1"/>
                  </w14:solidFill>
                </w14:textFill>
              </w:rPr>
              <w:t>符合性分析表</w:t>
            </w:r>
          </w:p>
          <w:tbl>
            <w:tblPr>
              <w:tblStyle w:val="21"/>
              <w:tblW w:w="796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8"/>
              <w:gridCol w:w="61"/>
              <w:gridCol w:w="144"/>
              <w:gridCol w:w="206"/>
              <w:gridCol w:w="2534"/>
              <w:gridCol w:w="43"/>
              <w:gridCol w:w="685"/>
              <w:gridCol w:w="31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6" w:type="dxa"/>
                  <w:gridSpan w:val="8"/>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一、生态保护红线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39" w:type="dxa"/>
                  <w:gridSpan w:val="4"/>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管控单元类别</w:t>
                  </w:r>
                </w:p>
              </w:tc>
              <w:tc>
                <w:tcPr>
                  <w:tcW w:w="6427" w:type="dxa"/>
                  <w:gridSpan w:val="4"/>
                  <w:vAlign w:val="center"/>
                </w:tcPr>
                <w:p>
                  <w:pPr>
                    <w:autoSpaceDE w:val="0"/>
                    <w:autoSpaceDN w:val="0"/>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39" w:type="dxa"/>
                  <w:gridSpan w:val="4"/>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管控要求</w:t>
                  </w:r>
                </w:p>
              </w:tc>
              <w:tc>
                <w:tcPr>
                  <w:tcW w:w="6427" w:type="dxa"/>
                  <w:gridSpan w:val="4"/>
                  <w:vAlign w:val="center"/>
                </w:tcPr>
                <w:p>
                  <w:pPr>
                    <w:autoSpaceDE w:val="0"/>
                    <w:autoSpaceDN w:val="0"/>
                    <w:adjustRightInd w:val="0"/>
                    <w:snapToGrid w:val="0"/>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生态空间包括生态保护红线和一般生态空间，生态保护红线及一般生态空间均属于优先保护区，其余区域属于一般管控区。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39" w:type="dxa"/>
                  <w:gridSpan w:val="4"/>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符合性分析</w:t>
                  </w:r>
                </w:p>
              </w:tc>
              <w:tc>
                <w:tcPr>
                  <w:tcW w:w="6427" w:type="dxa"/>
                  <w:gridSpan w:val="4"/>
                  <w:vAlign w:val="center"/>
                </w:tcPr>
                <w:p>
                  <w:pPr>
                    <w:autoSpaceDE w:val="0"/>
                    <w:autoSpaceDN w:val="0"/>
                    <w:adjustRightInd w:val="0"/>
                    <w:snapToGrid w:val="0"/>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根据黑龙江省生态环境分区管控数据应用平台内的生态保护红线、一般生态空间分布图，本项目所在区域不属于生态保护红线和一般生态空间，属于一般管控区。因此本项目符合生态保护红线要求。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6" w:type="dxa"/>
                  <w:gridSpan w:val="8"/>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二、环境质量底线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6" w:type="dxa"/>
                  <w:gridSpan w:val="8"/>
                  <w:vAlign w:val="center"/>
                </w:tcPr>
                <w:p>
                  <w:pPr>
                    <w:autoSpaceDE w:val="0"/>
                    <w:autoSpaceDN w:val="0"/>
                    <w:adjustRightInd w:val="0"/>
                    <w:snapToGrid w:val="0"/>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6" w:type="dxa"/>
                  <w:gridSpan w:val="8"/>
                  <w:tcBorders>
                    <w:bottom w:val="single" w:color="auto" w:sz="4" w:space="0"/>
                  </w:tcBorders>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大气环境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89" w:type="dxa"/>
                  <w:gridSpan w:val="2"/>
                  <w:tcBorders>
                    <w:top w:val="single" w:color="auto" w:sz="4" w:space="0"/>
                  </w:tcBorders>
                  <w:vAlign w:val="center"/>
                </w:tcPr>
                <w:p>
                  <w:pPr>
                    <w:autoSpaceDE w:val="0"/>
                    <w:autoSpaceDN w:val="0"/>
                    <w:adjustRightInd w:val="0"/>
                    <w:snapToGrid w:val="0"/>
                    <w:jc w:val="center"/>
                    <w:rPr>
                      <w:b/>
                      <w:color w:val="000000" w:themeColor="text1"/>
                      <w:szCs w:val="21"/>
                      <w14:textFill>
                        <w14:solidFill>
                          <w14:schemeClr w14:val="tx1"/>
                        </w14:solidFill>
                      </w14:textFill>
                    </w:rPr>
                  </w:pPr>
                  <w:r>
                    <w:rPr>
                      <w:b/>
                      <w:bCs/>
                      <w:color w:val="000000" w:themeColor="text1"/>
                      <w:szCs w:val="21"/>
                      <w14:textFill>
                        <w14:solidFill>
                          <w14:schemeClr w14:val="tx1"/>
                        </w14:solidFill>
                      </w14:textFill>
                    </w:rPr>
                    <w:t>管控单元类别</w:t>
                  </w:r>
                </w:p>
              </w:tc>
              <w:tc>
                <w:tcPr>
                  <w:tcW w:w="6777" w:type="dxa"/>
                  <w:gridSpan w:val="6"/>
                  <w:tcBorders>
                    <w:top w:val="single" w:color="auto" w:sz="4" w:space="0"/>
                  </w:tcBorders>
                  <w:vAlign w:val="center"/>
                </w:tcPr>
                <w:p>
                  <w:pPr>
                    <w:autoSpaceDE w:val="0"/>
                    <w:autoSpaceDN w:val="0"/>
                    <w:adjustRightInd w:val="0"/>
                    <w:snapToGrid w:val="0"/>
                    <w:jc w:val="center"/>
                    <w:rPr>
                      <w:b/>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兴安区大气环境布局敏感重点管控区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73" w:type="dxa"/>
                  <w:gridSpan w:val="5"/>
                  <w:vAlign w:val="center"/>
                </w:tcPr>
                <w:p>
                  <w:pPr>
                    <w:autoSpaceDE w:val="0"/>
                    <w:autoSpaceDN w:val="0"/>
                    <w:adjustRightInd w:val="0"/>
                    <w:snapToGrid w:val="0"/>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管控要求</w:t>
                  </w:r>
                </w:p>
              </w:tc>
              <w:tc>
                <w:tcPr>
                  <w:tcW w:w="3893" w:type="dxa"/>
                  <w:gridSpan w:val="3"/>
                  <w:vAlign w:val="center"/>
                </w:tcPr>
                <w:p>
                  <w:pPr>
                    <w:autoSpaceDE w:val="0"/>
                    <w:autoSpaceDN w:val="0"/>
                    <w:adjustRightInd w:val="0"/>
                    <w:snapToGrid w:val="0"/>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89" w:type="dxa"/>
                  <w:gridSpan w:val="2"/>
                  <w:vAlign w:val="center"/>
                </w:tcPr>
                <w:p>
                  <w:pPr>
                    <w:autoSpaceDE w:val="0"/>
                    <w:autoSpaceDN w:val="0"/>
                    <w:adjustRightInd w:val="0"/>
                    <w:snapToGrid w:val="0"/>
                    <w:jc w:val="center"/>
                    <w:rPr>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空间布局约束</w:t>
                  </w:r>
                </w:p>
              </w:tc>
              <w:tc>
                <w:tcPr>
                  <w:tcW w:w="2884" w:type="dxa"/>
                  <w:gridSpan w:val="3"/>
                  <w:vAlign w:val="center"/>
                </w:tcPr>
                <w:p>
                  <w:pPr>
                    <w:adjustRightInd w:val="0"/>
                    <w:spacing w:line="240" w:lineRule="atLeast"/>
                    <w:jc w:val="left"/>
                    <w:textAlignment w:val="baseline"/>
                    <w:rPr>
                      <w:color w:val="000000" w:themeColor="text1"/>
                      <w:szCs w:val="21"/>
                      <w14:textFill>
                        <w14:solidFill>
                          <w14:schemeClr w14:val="tx1"/>
                        </w14:solidFill>
                      </w14:textFill>
                    </w:rPr>
                  </w:pPr>
                  <w:r>
                    <w:rPr>
                      <w:rFonts w:hint="eastAsia" w:hAnsiTheme="minorHAnsi" w:eastAsiaTheme="minorEastAsia" w:cstheme="minorBidi"/>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严格落实国家产业政策及产能置换、煤炭消费减量替代、区域污染物消减等要求，坚决叫停不符合要求的高耗能、高排放、低水平项目。依法依规退出重点行业落后产能，严格执行《产业结构调整指导目录》淘汰或限制大气污染物排放强度高、治理难度大的工艺和装备。</w:t>
                  </w:r>
                </w:p>
                <w:p>
                  <w:pPr>
                    <w:autoSpaceDE w:val="0"/>
                    <w:autoSpaceDN w:val="0"/>
                    <w:adjustRightInd w:val="0"/>
                    <w:snapToGrid w:val="0"/>
                    <w:rPr>
                      <w:bCs/>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2.到2025年，在用65蒸吨/小时以上燃煤锅炉（含电力）实现超低排放。</w:t>
                  </w:r>
                </w:p>
              </w:tc>
              <w:tc>
                <w:tcPr>
                  <w:tcW w:w="3893" w:type="dxa"/>
                  <w:gridSpan w:val="3"/>
                  <w:vMerge w:val="restart"/>
                  <w:vAlign w:val="center"/>
                </w:tcPr>
                <w:p>
                  <w:pPr>
                    <w:autoSpaceDE w:val="0"/>
                    <w:autoSpaceDN w:val="0"/>
                    <w:adjustRightInd w:val="0"/>
                    <w:snapToGrid w:val="0"/>
                    <w:ind w:firstLine="420" w:firstLineChars="200"/>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本项目位于</w:t>
                  </w:r>
                  <w:r>
                    <w:rPr>
                      <w:rFonts w:hint="eastAsia"/>
                      <w:bCs/>
                      <w:color w:val="000000" w:themeColor="text1"/>
                      <w:szCs w:val="21"/>
                      <w14:textFill>
                        <w14:solidFill>
                          <w14:schemeClr w14:val="tx1"/>
                        </w14:solidFill>
                      </w14:textFill>
                    </w:rPr>
                    <w:t>黑龙江省鹤岗市兴安区红旗镇峻丰村</w:t>
                  </w:r>
                  <w:r>
                    <w:rPr>
                      <w:bCs/>
                      <w:color w:val="000000" w:themeColor="text1"/>
                      <w:szCs w:val="21"/>
                      <w14:textFill>
                        <w14:solidFill>
                          <w14:schemeClr w14:val="tx1"/>
                        </w14:solidFill>
                      </w14:textFill>
                    </w:rPr>
                    <w:t>。根据《2024年黑龙江省生态环境质量状况》，评价区环境空气质量能够满足环境空气二类功能区要求。本项目区域其他污染物中TSP浓度满足《环境空气质量标准》（GB3095-2012）及修改单中二级标准要求。</w:t>
                  </w:r>
                </w:p>
                <w:p>
                  <w:pPr>
                    <w:autoSpaceDE w:val="0"/>
                    <w:autoSpaceDN w:val="0"/>
                    <w:adjustRightInd w:val="0"/>
                    <w:snapToGrid w:val="0"/>
                    <w:ind w:firstLine="420" w:firstLineChars="200"/>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本项目</w:t>
                  </w:r>
                  <w:r>
                    <w:rPr>
                      <w:rFonts w:hint="eastAsia"/>
                      <w:bCs/>
                      <w:color w:val="000000" w:themeColor="text1"/>
                      <w:szCs w:val="21"/>
                      <w14:textFill>
                        <w14:solidFill>
                          <w14:schemeClr w14:val="tx1"/>
                        </w14:solidFill>
                      </w14:textFill>
                    </w:rPr>
                    <w:t>产生的</w:t>
                  </w:r>
                  <w:r>
                    <w:rPr>
                      <w:rFonts w:hint="eastAsia"/>
                      <w:szCs w:val="21"/>
                    </w:rPr>
                    <w:t>废气主要是物料堆放、装卸粉尘，原料运输和转运扬尘，道路运输扬尘</w:t>
                  </w:r>
                  <w:r>
                    <w:rPr>
                      <w:bCs/>
                      <w:color w:val="000000" w:themeColor="text1"/>
                      <w:szCs w:val="21"/>
                      <w14:textFill>
                        <w14:solidFill>
                          <w14:schemeClr w14:val="tx1"/>
                        </w14:solidFill>
                      </w14:textFill>
                    </w:rPr>
                    <w:t>。</w:t>
                  </w:r>
                  <w:r>
                    <w:rPr>
                      <w:rStyle w:val="59"/>
                      <w:rFonts w:hint="eastAsia"/>
                    </w:rPr>
                    <w:t>本项目原煤堆放库、中煤堆放库、矸石堆放库为钢结构全封闭厂房、通过对场地硬化、设置喷淋设施等，并定期打扫车间地面，保持地面清洁，无组织粉尘排放量较少。</w:t>
                  </w:r>
                  <w:r>
                    <w:rPr>
                      <w:rFonts w:hint="eastAsia"/>
                      <w:szCs w:val="21"/>
                    </w:rPr>
                    <w:t>运输和转运工段采用苫布覆盖、限速、转运点设置洒水喷淋等降尘措施，同时减小输送高度，并对厂区地面进行硬化，无组织粉尘排放浓度满足《煤炭工业污染物排放标准》（GB20426-2006）表5煤炭工业无组织排放限值。</w:t>
                  </w:r>
                </w:p>
                <w:p>
                  <w:pPr>
                    <w:autoSpaceDE w:val="0"/>
                    <w:autoSpaceDN w:val="0"/>
                    <w:adjustRightInd w:val="0"/>
                    <w:snapToGrid w:val="0"/>
                    <w:ind w:firstLine="420" w:firstLineChars="200"/>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综上，本项目不会对大气环境质量现状造成不良影响，能够满足黑龙江省大气环境质量底线要求。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89" w:type="dxa"/>
                  <w:gridSpan w:val="2"/>
                  <w:vAlign w:val="center"/>
                </w:tcPr>
                <w:p>
                  <w:pPr>
                    <w:autoSpaceDE w:val="0"/>
                    <w:autoSpaceDN w:val="0"/>
                    <w:adjustRightInd w:val="0"/>
                    <w:snapToGrid w:val="0"/>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污染物排放管控</w:t>
                  </w:r>
                </w:p>
              </w:tc>
              <w:tc>
                <w:tcPr>
                  <w:tcW w:w="2884" w:type="dxa"/>
                  <w:gridSpan w:val="3"/>
                  <w:vAlign w:val="center"/>
                </w:tcPr>
                <w:p>
                  <w:pPr>
                    <w:adjustRightInd w:val="0"/>
                    <w:spacing w:line="240" w:lineRule="atLeast"/>
                    <w:jc w:val="left"/>
                    <w:textAlignment w:val="baseline"/>
                    <w:rPr>
                      <w:rFonts w:hint="eastAsia" w:hAnsiTheme="minorHAnsi" w:eastAsiaTheme="minorEastAsia" w:cstheme="minorBidi"/>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1.2025年和2035年全市大气主要污染物氮氧化物和VOCs重点工程削减量不低于省政府确定的削减量。</w:t>
                  </w:r>
                </w:p>
              </w:tc>
              <w:tc>
                <w:tcPr>
                  <w:tcW w:w="3893" w:type="dxa"/>
                  <w:gridSpan w:val="3"/>
                  <w:vMerge w:val="continue"/>
                  <w:vAlign w:val="center"/>
                </w:tcPr>
                <w:p>
                  <w:pPr>
                    <w:autoSpaceDE w:val="0"/>
                    <w:autoSpaceDN w:val="0"/>
                    <w:adjustRightInd w:val="0"/>
                    <w:snapToGrid w:val="0"/>
                    <w:ind w:firstLine="420" w:firstLineChars="200"/>
                    <w:rPr>
                      <w:bCs/>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6" w:type="dxa"/>
                  <w:gridSpan w:val="8"/>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水环境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33" w:type="dxa"/>
                  <w:gridSpan w:val="3"/>
                  <w:vAlign w:val="center"/>
                </w:tcPr>
                <w:p>
                  <w:pPr>
                    <w:autoSpaceDE w:val="0"/>
                    <w:autoSpaceDN w:val="0"/>
                    <w:adjustRightInd w:val="0"/>
                    <w:snapToGrid w:val="0"/>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管控单元类别</w:t>
                  </w:r>
                </w:p>
              </w:tc>
              <w:tc>
                <w:tcPr>
                  <w:tcW w:w="6633" w:type="dxa"/>
                  <w:gridSpan w:val="5"/>
                  <w:tcBorders>
                    <w:bottom w:val="single" w:color="auto" w:sz="4" w:space="0"/>
                  </w:tcBorders>
                  <w:vAlign w:val="center"/>
                </w:tcPr>
                <w:p>
                  <w:pPr>
                    <w:autoSpaceDE w:val="0"/>
                    <w:autoSpaceDN w:val="0"/>
                    <w:adjustRightInd w:val="0"/>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兴安区水环境工业污染重点管控区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116" w:type="dxa"/>
                  <w:gridSpan w:val="6"/>
                  <w:tcBorders>
                    <w:bottom w:val="single" w:color="auto" w:sz="4" w:space="0"/>
                  </w:tcBorders>
                  <w:vAlign w:val="center"/>
                </w:tcPr>
                <w:p>
                  <w:pPr>
                    <w:autoSpaceDE w:val="0"/>
                    <w:autoSpaceDN w:val="0"/>
                    <w:adjustRightInd w:val="0"/>
                    <w:snapToGrid w:val="0"/>
                    <w:jc w:val="center"/>
                    <w:rPr>
                      <w:b/>
                      <w:color w:val="000000" w:themeColor="text1"/>
                      <w:szCs w:val="21"/>
                      <w14:textFill>
                        <w14:solidFill>
                          <w14:schemeClr w14:val="tx1"/>
                        </w14:solidFill>
                      </w14:textFill>
                    </w:rPr>
                  </w:pPr>
                  <w:r>
                    <w:rPr>
                      <w:b/>
                      <w:bCs/>
                      <w:color w:val="000000" w:themeColor="text1"/>
                      <w:szCs w:val="21"/>
                      <w14:textFill>
                        <w14:solidFill>
                          <w14:schemeClr w14:val="tx1"/>
                        </w14:solidFill>
                      </w14:textFill>
                    </w:rPr>
                    <w:t>管控要求</w:t>
                  </w:r>
                </w:p>
              </w:tc>
              <w:tc>
                <w:tcPr>
                  <w:tcW w:w="3850" w:type="dxa"/>
                  <w:gridSpan w:val="2"/>
                  <w:tcBorders>
                    <w:top w:val="single" w:color="auto" w:sz="4" w:space="0"/>
                  </w:tcBorders>
                  <w:vAlign w:val="center"/>
                </w:tcPr>
                <w:p>
                  <w:pPr>
                    <w:autoSpaceDE w:val="0"/>
                    <w:autoSpaceDN w:val="0"/>
                    <w:adjustRightInd w:val="0"/>
                    <w:snapToGrid w:val="0"/>
                    <w:jc w:val="center"/>
                    <w:rPr>
                      <w:b/>
                      <w:color w:val="000000" w:themeColor="text1"/>
                      <w:szCs w:val="21"/>
                      <w14:textFill>
                        <w14:solidFill>
                          <w14:schemeClr w14:val="tx1"/>
                        </w14:solidFill>
                      </w14:textFill>
                    </w:rPr>
                  </w:pPr>
                  <w:r>
                    <w:rPr>
                      <w:b/>
                      <w:bCs/>
                      <w:color w:val="000000" w:themeColor="text1"/>
                      <w:szCs w:val="21"/>
                      <w14:textFill>
                        <w14:solidFill>
                          <w14:schemeClr w14:val="tx1"/>
                        </w14:solidFill>
                      </w14:textFill>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33" w:type="dxa"/>
                  <w:gridSpan w:val="3"/>
                  <w:tcBorders>
                    <w:top w:val="single" w:color="auto" w:sz="4" w:space="0"/>
                  </w:tcBorders>
                  <w:vAlign w:val="center"/>
                </w:tcPr>
                <w:p>
                  <w:pPr>
                    <w:autoSpaceDE w:val="0"/>
                    <w:autoSpaceDN w:val="0"/>
                    <w:adjustRightInd w:val="0"/>
                    <w:snapToGrid w:val="0"/>
                    <w:jc w:val="center"/>
                    <w:rPr>
                      <w:bCs/>
                      <w:color w:val="000000" w:themeColor="text1"/>
                      <w:szCs w:val="21"/>
                      <w14:textFill>
                        <w14:solidFill>
                          <w14:schemeClr w14:val="tx1"/>
                        </w14:solidFill>
                      </w14:textFill>
                    </w:rPr>
                  </w:pPr>
                  <w:r>
                    <w:rPr>
                      <w:b/>
                      <w:color w:val="000000" w:themeColor="text1"/>
                      <w:szCs w:val="21"/>
                      <w14:textFill>
                        <w14:solidFill>
                          <w14:schemeClr w14:val="tx1"/>
                        </w14:solidFill>
                      </w14:textFill>
                    </w:rPr>
                    <w:t>空间布局约束</w:t>
                  </w:r>
                </w:p>
              </w:tc>
              <w:tc>
                <w:tcPr>
                  <w:tcW w:w="2783" w:type="dxa"/>
                  <w:gridSpan w:val="3"/>
                  <w:tcBorders>
                    <w:top w:val="single" w:color="auto" w:sz="4" w:space="0"/>
                  </w:tcBorders>
                  <w:vAlign w:val="center"/>
                </w:tcPr>
                <w:p>
                  <w:pPr>
                    <w:autoSpaceDE w:val="0"/>
                    <w:autoSpaceDN w:val="0"/>
                    <w:adjustRightInd w:val="0"/>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1.区域内严格控制高耗水、高污染行业发展。 2.优化产业结构，加快退出落后产能，大力发展战略性新兴产业。3.根据水资源和水环境承载能力，以水定城、以水定地、以水定人、以水定产。 4.严控“两高”行业产能。严格执行钢铁、水泥、平板玻璃等行业产能置换实施办法。5.利用水泥密协同处置城市生活垃圾、危险废弃物、电石澄等固废伴生水泥项目，必须依托现有新型干法水泥熟料生产线进行不扩产能改造。</w:t>
                  </w:r>
                </w:p>
              </w:tc>
              <w:tc>
                <w:tcPr>
                  <w:tcW w:w="3850" w:type="dxa"/>
                  <w:gridSpan w:val="2"/>
                  <w:vAlign w:val="center"/>
                </w:tcPr>
                <w:p>
                  <w:pPr>
                    <w:autoSpaceDE w:val="0"/>
                    <w:autoSpaceDN w:val="0"/>
                    <w:adjustRightInd w:val="0"/>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1.本项目不属于高耗水、高污染行业。2. 本项目不涉及落后产能。3.本项目保护水资源及水环境。4.本项目不属于“两高”行业5.本项目不属于利用水泥密协同处置城市生活垃圾、危险废弃物、电石澄等固废伴生水泥项目。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33" w:type="dxa"/>
                  <w:gridSpan w:val="3"/>
                  <w:tcBorders>
                    <w:top w:val="single" w:color="auto" w:sz="4" w:space="0"/>
                  </w:tcBorders>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污染物排放管控</w:t>
                  </w:r>
                </w:p>
              </w:tc>
              <w:tc>
                <w:tcPr>
                  <w:tcW w:w="2783" w:type="dxa"/>
                  <w:gridSpan w:val="3"/>
                  <w:tcBorders>
                    <w:top w:val="single" w:color="auto" w:sz="4" w:space="0"/>
                  </w:tcBorders>
                  <w:vAlign w:val="center"/>
                </w:tcPr>
                <w:p>
                  <w:pPr>
                    <w:autoSpaceDE w:val="0"/>
                    <w:autoSpaceDN w:val="0"/>
                    <w:adjustRightInd w:val="0"/>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新建、改建和扩建项目应当优先采用资源利用率高以及污染物产生量少的清洁生产技术、工艺设备。2.企业事业单位和其他生产经营理要求后，方可进入污水集中处理设施。新建、升级工业集聚区应同步规划和建设污水、垃圾集中处理等污染治理设施。 3.对以煤、石焦油、油、重油等为燃料的锅炉和工业炉窑，加快使用清洁低碳能源以及工厂余热、电力热力等进行替代。4.到2025年，在用65蒸吨/小时以上的燃煤锅炉(含电力)实现超低排放，钢铁企业基本实现超低排放。</w:t>
                  </w:r>
                </w:p>
              </w:tc>
              <w:tc>
                <w:tcPr>
                  <w:tcW w:w="3850" w:type="dxa"/>
                  <w:gridSpan w:val="2"/>
                  <w:vAlign w:val="center"/>
                </w:tcPr>
                <w:p>
                  <w:pPr>
                    <w:autoSpaceDE w:val="0"/>
                    <w:autoSpaceDN w:val="0"/>
                    <w:adjustRightInd w:val="0"/>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1.本项目采用资源利用率高以及污染物产生量少的清洁生产技术、工艺设备。2. 本项目不涉及污水进入污水集中处理设施。3.本项目不涉及对煤、石焦油、油、重油等为燃料的锅炉和工业炉窑。4. 本项目不涉及使用65蒸吨/小时以上的燃煤锅炉。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33" w:type="dxa"/>
                  <w:gridSpan w:val="3"/>
                  <w:tcBorders>
                    <w:top w:val="single" w:color="auto" w:sz="4" w:space="0"/>
                  </w:tcBorders>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环境风险防控</w:t>
                  </w:r>
                </w:p>
              </w:tc>
              <w:tc>
                <w:tcPr>
                  <w:tcW w:w="2783" w:type="dxa"/>
                  <w:gridSpan w:val="3"/>
                  <w:tcBorders>
                    <w:top w:val="single" w:color="auto" w:sz="4" w:space="0"/>
                  </w:tcBorders>
                  <w:vAlign w:val="center"/>
                </w:tcPr>
                <w:p>
                  <w:pPr>
                    <w:autoSpaceDE w:val="0"/>
                    <w:autoSpaceDN w:val="0"/>
                    <w:adjustRightInd w:val="0"/>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排放《有毒有害水污染物名录》所列有毒有害水污染物的企业事业单位和其他生产经营者，应当对排污口和周边环境进行监测，评估环境风险，排查环境安全隐患，并公开有毒有害水污染物信息，采取有效措施防范环境风险。 2.禁止在居民区、学校、医疗和养老机构等周边新建有色金属冶炼、焦化等行业企业。</w:t>
                  </w:r>
                </w:p>
              </w:tc>
              <w:tc>
                <w:tcPr>
                  <w:tcW w:w="3850" w:type="dxa"/>
                  <w:gridSpan w:val="2"/>
                  <w:vAlign w:val="center"/>
                </w:tcPr>
                <w:p>
                  <w:pPr>
                    <w:autoSpaceDE w:val="0"/>
                    <w:autoSpaceDN w:val="0"/>
                    <w:adjustRightInd w:val="0"/>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1.本项目不涉及排放《有毒有害水污染物名录》，本项目建设单位不属于有毒有害水污染物的企业事业单位和其他生产经营者。2.本项目不属于新建有色金属冶炼、焦化等行业企业。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33" w:type="dxa"/>
                  <w:gridSpan w:val="3"/>
                  <w:tcBorders>
                    <w:top w:val="single" w:color="auto" w:sz="4" w:space="0"/>
                  </w:tcBorders>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资源利用效率要求</w:t>
                  </w:r>
                </w:p>
              </w:tc>
              <w:tc>
                <w:tcPr>
                  <w:tcW w:w="2783" w:type="dxa"/>
                  <w:gridSpan w:val="3"/>
                  <w:tcBorders>
                    <w:top w:val="single" w:color="auto" w:sz="4" w:space="0"/>
                  </w:tcBorders>
                  <w:vAlign w:val="center"/>
                </w:tcPr>
                <w:p>
                  <w:pPr>
                    <w:autoSpaceDE w:val="0"/>
                    <w:autoSpaceDN w:val="0"/>
                    <w:adjustRightInd w:val="0"/>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1.在禁燃区内，禁止销售、燃用高污染燃料：禁止新建、扩建燃用高污染燃料的设施，已建成的，应当在城市人民政府规定的期限内改用天然气、页岩气、波化石油气、电或者其他清洁能源。 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3850" w:type="dxa"/>
                  <w:gridSpan w:val="2"/>
                  <w:vAlign w:val="center"/>
                </w:tcPr>
                <w:p>
                  <w:pPr>
                    <w:autoSpaceDE w:val="0"/>
                    <w:autoSpaceDN w:val="0"/>
                    <w:adjustRightInd w:val="0"/>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1.本项目不涉及销售、燃用高污染燃料、新建、扩建燃用高污染燃料的设施。2.本项目不涉及新建、扩建分散燃煤供热锅炉。不涉及不能达标排放的燃煤供热锅炉。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6" w:type="dxa"/>
                  <w:gridSpan w:val="8"/>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三、资源利用上线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6" w:type="dxa"/>
                  <w:gridSpan w:val="8"/>
                  <w:vAlign w:val="center"/>
                </w:tcPr>
                <w:p>
                  <w:pPr>
                    <w:autoSpaceDE w:val="0"/>
                    <w:autoSpaceDN w:val="0"/>
                    <w:adjustRightInd w:val="0"/>
                    <w:snapToGrid w:val="0"/>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自然资源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28" w:type="dxa"/>
                  <w:vAlign w:val="center"/>
                </w:tcPr>
                <w:p>
                  <w:pPr>
                    <w:autoSpaceDE w:val="0"/>
                    <w:autoSpaceDN w:val="0"/>
                    <w:adjustRightInd w:val="0"/>
                    <w:snapToGrid w:val="0"/>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管控单元类别</w:t>
                  </w:r>
                </w:p>
              </w:tc>
              <w:tc>
                <w:tcPr>
                  <w:tcW w:w="6838" w:type="dxa"/>
                  <w:gridSpan w:val="7"/>
                  <w:vAlign w:val="center"/>
                </w:tcPr>
                <w:p>
                  <w:pPr>
                    <w:autoSpaceDE w:val="0"/>
                    <w:autoSpaceDN w:val="0"/>
                    <w:adjustRightInd w:val="0"/>
                    <w:snapToGrid w:val="0"/>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28" w:type="dxa"/>
                  <w:vAlign w:val="center"/>
                </w:tcPr>
                <w:p>
                  <w:pPr>
                    <w:autoSpaceDE w:val="0"/>
                    <w:autoSpaceDN w:val="0"/>
                    <w:adjustRightInd w:val="0"/>
                    <w:snapToGrid w:val="0"/>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管控要求</w:t>
                  </w:r>
                </w:p>
              </w:tc>
              <w:tc>
                <w:tcPr>
                  <w:tcW w:w="6838" w:type="dxa"/>
                  <w:gridSpan w:val="7"/>
                  <w:vAlign w:val="center"/>
                </w:tcPr>
                <w:p>
                  <w:pPr>
                    <w:adjustRightInd w:val="0"/>
                    <w:spacing w:line="240" w:lineRule="atLeast"/>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能源：2025年和2035年，全市煤炭消费上线不高于省政府确定的指标。</w:t>
                  </w:r>
                </w:p>
                <w:p>
                  <w:pPr>
                    <w:adjustRightInd w:val="0"/>
                    <w:spacing w:line="240" w:lineRule="atLeast"/>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水资源：全市2025年用水总量不得超过15.41亿立方米，2030年用水总量控制指标不高于省政府确定的指标。</w:t>
                  </w:r>
                </w:p>
                <w:p>
                  <w:pPr>
                    <w:autoSpaceDE w:val="0"/>
                    <w:autoSpaceDN w:val="0"/>
                    <w:adjustRightInd w:val="0"/>
                    <w:snapToGrid w:val="0"/>
                    <w:rPr>
                      <w:b/>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土地资源：全市2025和2035年耕地保有量不低于规划指标。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28" w:type="dxa"/>
                  <w:vAlign w:val="center"/>
                </w:tcPr>
                <w:p>
                  <w:pPr>
                    <w:autoSpaceDE w:val="0"/>
                    <w:autoSpaceDN w:val="0"/>
                    <w:adjustRightInd w:val="0"/>
                    <w:snapToGrid w:val="0"/>
                    <w:jc w:val="center"/>
                    <w:rPr>
                      <w:b/>
                      <w:color w:val="000000" w:themeColor="text1"/>
                      <w:szCs w:val="21"/>
                      <w14:textFill>
                        <w14:solidFill>
                          <w14:schemeClr w14:val="tx1"/>
                        </w14:solidFill>
                      </w14:textFill>
                    </w:rPr>
                  </w:pPr>
                </w:p>
              </w:tc>
              <w:tc>
                <w:tcPr>
                  <w:tcW w:w="6838" w:type="dxa"/>
                  <w:gridSpan w:val="7"/>
                  <w:vAlign w:val="center"/>
                </w:tcPr>
                <w:p>
                  <w:pPr>
                    <w:autoSpaceDE w:val="0"/>
                    <w:autoSpaceDN w:val="0"/>
                    <w:adjustRightInd w:val="0"/>
                    <w:snapToGrid w:val="0"/>
                    <w:ind w:firstLine="420" w:firstLineChars="200"/>
                    <w:rPr>
                      <w:bCs/>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28" w:type="dxa"/>
                  <w:vAlign w:val="center"/>
                </w:tcPr>
                <w:p>
                  <w:pPr>
                    <w:autoSpaceDE w:val="0"/>
                    <w:autoSpaceDN w:val="0"/>
                    <w:adjustRightInd w:val="0"/>
                    <w:snapToGrid w:val="0"/>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符合性分析</w:t>
                  </w:r>
                </w:p>
              </w:tc>
              <w:tc>
                <w:tcPr>
                  <w:tcW w:w="6838" w:type="dxa"/>
                  <w:gridSpan w:val="7"/>
                  <w:vAlign w:val="center"/>
                </w:tcPr>
                <w:p>
                  <w:pPr>
                    <w:autoSpaceDE w:val="0"/>
                    <w:autoSpaceDN w:val="0"/>
                    <w:adjustRightInd w:val="0"/>
                    <w:snapToGrid w:val="0"/>
                    <w:ind w:firstLine="420" w:firstLineChars="200"/>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本项目用水由厂区水井提供，项目使用地下水量很少，相对于本区域地下水资源量很少，不会影响地下水资源量；项目采用不消耗煤炭资源；本项目用电依托当地电网；本项目不属于高水耗、高能耗行业；项目不占用基本农田和黑土地</w:t>
                  </w:r>
                  <w:r>
                    <w:rPr>
                      <w:rFonts w:hint="eastAsia"/>
                      <w:bCs/>
                      <w:color w:val="000000" w:themeColor="text1"/>
                      <w:szCs w:val="21"/>
                      <w14:textFill>
                        <w14:solidFill>
                          <w14:schemeClr w14:val="tx1"/>
                        </w14:solidFill>
                      </w14:textFill>
                    </w:rPr>
                    <w:t>。</w:t>
                  </w:r>
                  <w:r>
                    <w:rPr>
                      <w:bCs/>
                      <w:color w:val="000000" w:themeColor="text1"/>
                      <w:szCs w:val="21"/>
                      <w14:textFill>
                        <w14:solidFill>
                          <w14:schemeClr w14:val="tx1"/>
                        </w14:solidFill>
                      </w14:textFill>
                    </w:rPr>
                    <w:t>综上，本项目符合能源、水资源、土地资源等资源利用上线要求。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966" w:type="dxa"/>
                  <w:gridSpan w:val="8"/>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四、生态环境准入清单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39" w:type="dxa"/>
                  <w:gridSpan w:val="4"/>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环境管控单元名称</w:t>
                  </w:r>
                </w:p>
              </w:tc>
              <w:tc>
                <w:tcPr>
                  <w:tcW w:w="6427" w:type="dxa"/>
                  <w:gridSpan w:val="4"/>
                  <w:vAlign w:val="center"/>
                </w:tcPr>
                <w:p>
                  <w:pPr>
                    <w:autoSpaceDE w:val="0"/>
                    <w:autoSpaceDN w:val="0"/>
                    <w:adjustRightInd w:val="0"/>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兴安区水环境工业污染重点管控区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39" w:type="dxa"/>
                  <w:gridSpan w:val="4"/>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环境管控单元编码</w:t>
                  </w:r>
                </w:p>
              </w:tc>
              <w:tc>
                <w:tcPr>
                  <w:tcW w:w="6427" w:type="dxa"/>
                  <w:gridSpan w:val="4"/>
                  <w:vAlign w:val="center"/>
                </w:tcPr>
                <w:p>
                  <w:pPr>
                    <w:autoSpaceDE w:val="0"/>
                    <w:autoSpaceDN w:val="0"/>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ZH23040520005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39" w:type="dxa"/>
                  <w:gridSpan w:val="4"/>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管控单元类别</w:t>
                  </w:r>
                </w:p>
              </w:tc>
              <w:tc>
                <w:tcPr>
                  <w:tcW w:w="6427" w:type="dxa"/>
                  <w:gridSpan w:val="4"/>
                  <w:vAlign w:val="center"/>
                </w:tcPr>
                <w:p>
                  <w:pPr>
                    <w:autoSpaceDE w:val="0"/>
                    <w:autoSpaceDN w:val="0"/>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重点管控单元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801" w:type="dxa"/>
                  <w:gridSpan w:val="7"/>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管控要求</w:t>
                  </w:r>
                </w:p>
              </w:tc>
              <w:tc>
                <w:tcPr>
                  <w:tcW w:w="3165" w:type="dxa"/>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项目符合性分析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39" w:type="dxa"/>
                  <w:gridSpan w:val="4"/>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空间布局约束</w:t>
                  </w:r>
                </w:p>
              </w:tc>
              <w:tc>
                <w:tcPr>
                  <w:tcW w:w="3262" w:type="dxa"/>
                  <w:gridSpan w:val="3"/>
                  <w:vAlign w:val="center"/>
                </w:tcPr>
                <w:p>
                  <w:pPr>
                    <w:autoSpaceDE w:val="0"/>
                    <w:autoSpaceDN w:val="0"/>
                    <w:adjustRightInd w:val="0"/>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1.区域内严格控制高耗水、高污染行业发展。 2.优化产业结构，加快退出落后产能，大力发展战略性新兴产业。3.根据水资源和水环境承载能力，以水定城、以水定地、以水定人、以水定产。 4.严控“两高”行业产能。严格执行钢铁、水泥、平板玻璃等行业产能置换实施办法。5.利用水泥密协同处置城市生活垃圾、危险废弃物、电石澄等固废伴生水泥项目，必须依托现有新型干法水泥熟料生产线进行不扩产能改造。</w:t>
                  </w:r>
                </w:p>
              </w:tc>
              <w:tc>
                <w:tcPr>
                  <w:tcW w:w="3165" w:type="dxa"/>
                  <w:vAlign w:val="center"/>
                </w:tcPr>
                <w:p>
                  <w:pPr>
                    <w:autoSpaceDE w:val="0"/>
                    <w:autoSpaceDN w:val="0"/>
                    <w:adjustRightInd w:val="0"/>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1.本项目不属于高耗水、高污染行业。2. 本项目不涉及落后产能。3.本项目保护水资源及水环境。4.本项目不属于“两高”行业5.本项目不属于利用水泥密协同处置城市生活垃圾、危险废弃物、电石澄等固废伴生水泥项目。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39" w:type="dxa"/>
                  <w:gridSpan w:val="4"/>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污染物排放管控</w:t>
                  </w:r>
                </w:p>
              </w:tc>
              <w:tc>
                <w:tcPr>
                  <w:tcW w:w="3262" w:type="dxa"/>
                  <w:gridSpan w:val="3"/>
                  <w:vAlign w:val="center"/>
                </w:tcPr>
                <w:p>
                  <w:pPr>
                    <w:autoSpaceDE w:val="0"/>
                    <w:autoSpaceDN w:val="0"/>
                    <w:adjustRightInd w:val="0"/>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新建、改建和扩建项目应当优先采用资源利用率高以及污染物产生量少的清洁生产技术、工艺设备。2.企业事业单位和其他生产经营理要求后，方可进入污水集中处理设施。新建、升级工业集聚区应同步规划和建设污水、垃圾集中处理等污染治理设施。 3.对以煤、石焦油、油、重油等为燃料的锅炉和工业炉窑，加快使用清洁低碳能源以及工厂余热、电力热力等进行替代。4.到2025年，在用65蒸吨/小时以上的燃煤锅炉(含电力)实现超低排放，钢铁企业基本实现超低排放。</w:t>
                  </w:r>
                </w:p>
              </w:tc>
              <w:tc>
                <w:tcPr>
                  <w:tcW w:w="3165" w:type="dxa"/>
                  <w:vAlign w:val="center"/>
                </w:tcPr>
                <w:p>
                  <w:pPr>
                    <w:autoSpaceDE w:val="0"/>
                    <w:autoSpaceDN w:val="0"/>
                    <w:adjustRightInd w:val="0"/>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1.本项目采用资源利用率高以及污染物产生量少的清洁生产技术、工艺设备。2. 本项目不涉及污水进入污水集中处理设施。3.本项目不涉及对煤、石焦油、油、重油等为燃料的锅炉和工业炉窑。4. 本项目不涉及使用65蒸吨/小时以上的燃煤锅炉。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39" w:type="dxa"/>
                  <w:gridSpan w:val="4"/>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环境风险防控</w:t>
                  </w:r>
                </w:p>
              </w:tc>
              <w:tc>
                <w:tcPr>
                  <w:tcW w:w="3262" w:type="dxa"/>
                  <w:gridSpan w:val="3"/>
                  <w:vAlign w:val="center"/>
                </w:tcPr>
                <w:p>
                  <w:pPr>
                    <w:autoSpaceDE w:val="0"/>
                    <w:autoSpaceDN w:val="0"/>
                    <w:adjustRightInd w:val="0"/>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排放《有毒有害水污染物名录》所列有毒有害水污染物的企业事业单位和其他生产经营者，应当对排污口和周边环境进行监测，评估环境风险，排查环境安全隐患，并公开有毒有害水污染物信息，采取有效措施防范环境风险。 2.禁止在居民区、学校、医疗和养老机构等周边新建有色金属冶炼、焦化等行业企业。</w:t>
                  </w:r>
                </w:p>
              </w:tc>
              <w:tc>
                <w:tcPr>
                  <w:tcW w:w="3165" w:type="dxa"/>
                  <w:vAlign w:val="center"/>
                </w:tcPr>
                <w:p>
                  <w:pPr>
                    <w:autoSpaceDE w:val="0"/>
                    <w:autoSpaceDN w:val="0"/>
                    <w:adjustRightInd w:val="0"/>
                    <w:snapToGrid w:val="0"/>
                    <w:jc w:val="left"/>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1.本项目不涉及排放《有毒有害水污染物名录》，本项目建设单位不属于有毒有害水污染物的企业事业单位和其他生产经营者。2.本项目不属于新建有色金属冶炼、焦化等行业企业。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39" w:type="dxa"/>
                  <w:gridSpan w:val="4"/>
                  <w:vAlign w:val="center"/>
                </w:tcPr>
                <w:p>
                  <w:pPr>
                    <w:autoSpaceDE w:val="0"/>
                    <w:autoSpaceDN w:val="0"/>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资源利用效率要求</w:t>
                  </w:r>
                </w:p>
              </w:tc>
              <w:tc>
                <w:tcPr>
                  <w:tcW w:w="3262" w:type="dxa"/>
                  <w:gridSpan w:val="3"/>
                  <w:vAlign w:val="center"/>
                </w:tcPr>
                <w:p>
                  <w:pPr>
                    <w:autoSpaceDE w:val="0"/>
                    <w:autoSpaceDN w:val="0"/>
                    <w:adjustRightInd w:val="0"/>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1.在禁燃区内，禁止销售、燃用高污染燃料：禁止新建、扩建燃用高污染燃料的设施，已建成的，应当在城市人民政府规定的期限内改用天然气、页岩气、波化石油气、电或者其他清洁能源。 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3165" w:type="dxa"/>
                  <w:vAlign w:val="center"/>
                </w:tcPr>
                <w:p>
                  <w:pPr>
                    <w:autoSpaceDE w:val="0"/>
                    <w:autoSpaceDN w:val="0"/>
                    <w:adjustRightInd w:val="0"/>
                    <w:snapToGrid w:val="0"/>
                    <w:jc w:val="left"/>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1.本项目不涉及销售、燃用高污染燃料、新建、扩建燃用高污染燃料的设施。2.本项目不涉及新建、扩建分散燃煤供热锅炉。不涉及不能达标排放的燃煤供热锅炉。</w:t>
                  </w:r>
                </w:p>
              </w:tc>
            </w:tr>
          </w:tbl>
          <w:p>
            <w:pPr>
              <w:pStyle w:val="52"/>
              <w:spacing w:line="500" w:lineRule="exact"/>
              <w:ind w:firstLine="480"/>
              <w:rPr>
                <w:rFonts w:cs="Times New Roman"/>
                <w:color w:val="auto"/>
                <w:sz w:val="24"/>
              </w:rPr>
            </w:pPr>
            <w:r>
              <w:rPr>
                <w:rFonts w:cs="Times New Roman"/>
                <w:color w:val="auto"/>
                <w:sz w:val="24"/>
              </w:rPr>
              <w:t>根据《</w:t>
            </w:r>
            <w:r>
              <w:rPr>
                <w:rFonts w:hint="eastAsia" w:cs="Times New Roman"/>
                <w:color w:val="auto"/>
                <w:sz w:val="24"/>
              </w:rPr>
              <w:t>鹤岗市坦鑫洗煤厂项目</w:t>
            </w:r>
            <w:r>
              <w:rPr>
                <w:rFonts w:cs="Times New Roman"/>
                <w:color w:val="auto"/>
                <w:sz w:val="24"/>
              </w:rPr>
              <w:t>生态环境分区管控分析报告》，“</w:t>
            </w:r>
            <w:r>
              <w:rPr>
                <w:rFonts w:hint="eastAsia" w:cs="Times New Roman"/>
                <w:color w:val="auto"/>
                <w:sz w:val="24"/>
              </w:rPr>
              <w:t>鹤岗市坦鑫洗煤厂项目</w:t>
            </w:r>
            <w:r>
              <w:rPr>
                <w:rFonts w:cs="Times New Roman"/>
                <w:color w:val="auto"/>
                <w:sz w:val="24"/>
              </w:rPr>
              <w:t>与生态保护红线交集面积为0.00平方公里，占项目占地面积的0.00%。与自然保护地整合优化方案数据交集面积为0.00平方公里，占项目占地面积的0.00%。与饮用水水源保护区交集面积为0.00平方公里，占项目占地面积的0.00%。与国家级水产种质资源保护区交集面积为0.00平方公里，占项目占地面积的0.00%。与环境管控单元优先保护单元交集面积为0.00平方公里，占项目占地面积的0.00%”。</w:t>
            </w:r>
          </w:p>
          <w:p>
            <w:pPr>
              <w:pStyle w:val="52"/>
              <w:spacing w:line="500" w:lineRule="exact"/>
              <w:ind w:firstLine="480"/>
              <w:rPr>
                <w:rFonts w:cs="Times New Roman"/>
                <w:color w:val="auto"/>
                <w:sz w:val="24"/>
              </w:rPr>
            </w:pPr>
            <w:r>
              <w:rPr>
                <w:rFonts w:cs="Times New Roman"/>
                <w:color w:val="auto"/>
                <w:sz w:val="24"/>
              </w:rPr>
              <w:t>综上所述，本项目的建设符合</w:t>
            </w:r>
            <w:r>
              <w:rPr>
                <w:rFonts w:hint="eastAsia" w:cs="Times New Roman"/>
                <w:color w:val="auto"/>
                <w:sz w:val="24"/>
              </w:rPr>
              <w:t>《黑龙江省人民政府关于实施“三线一单”生态环境分区管控的意见》（黑政发[2020]14号）、《鹤岗市人民政府关于实施“三线一单”生态环境分区管控的意见》（鹤政发〔2021〕6号）</w:t>
            </w:r>
            <w:r>
              <w:rPr>
                <w:rFonts w:cs="Times New Roman"/>
                <w:color w:val="auto"/>
                <w:sz w:val="24"/>
              </w:rPr>
              <w:t>的要求。</w:t>
            </w:r>
          </w:p>
          <w:p>
            <w:pPr>
              <w:pStyle w:val="52"/>
              <w:adjustRightInd w:val="0"/>
              <w:snapToGrid w:val="0"/>
              <w:spacing w:line="500" w:lineRule="exact"/>
              <w:ind w:firstLine="480"/>
              <w:rPr>
                <w:rFonts w:cs="Times New Roman"/>
                <w:snapToGrid w:val="0"/>
                <w:color w:val="auto"/>
                <w:sz w:val="24"/>
              </w:rPr>
            </w:pPr>
          </w:p>
        </w:tc>
      </w:tr>
    </w:tbl>
    <w:p>
      <w:pPr>
        <w:pStyle w:val="46"/>
        <w:rPr>
          <w:rFonts w:eastAsia="宋体" w:cs="Times New Roman"/>
        </w:rPr>
        <w:sectPr>
          <w:footerReference r:id="rId6" w:type="default"/>
          <w:pgSz w:w="11906" w:h="16838"/>
          <w:pgMar w:top="1701" w:right="1531" w:bottom="1701" w:left="1531" w:header="851" w:footer="1077" w:gutter="0"/>
          <w:pgNumType w:start="1"/>
          <w:cols w:space="720" w:num="1"/>
          <w:docGrid w:linePitch="312" w:charSpace="0"/>
        </w:sectPr>
      </w:pPr>
    </w:p>
    <w:tbl>
      <w:tblPr>
        <w:tblStyle w:val="2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1294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09" w:hRule="atLeast"/>
          <w:jc w:val="center"/>
        </w:trPr>
        <w:tc>
          <w:tcPr>
            <w:tcW w:w="699" w:type="dxa"/>
            <w:vAlign w:val="center"/>
          </w:tcPr>
          <w:p>
            <w:pPr>
              <w:jc w:val="center"/>
              <w:rPr>
                <w:kern w:val="0"/>
                <w:sz w:val="24"/>
              </w:rPr>
            </w:pPr>
            <w:r>
              <w:rPr>
                <w:rFonts w:hint="eastAsia"/>
                <w:kern w:val="0"/>
                <w:sz w:val="24"/>
              </w:rPr>
              <w:t>其他符合性分析</w:t>
            </w:r>
          </w:p>
        </w:tc>
        <w:tc>
          <w:tcPr>
            <w:tcW w:w="12717" w:type="dxa"/>
            <w:vAlign w:val="center"/>
          </w:tcPr>
          <w:p>
            <w:pPr>
              <w:adjustRightInd w:val="0"/>
              <w:snapToGrid w:val="0"/>
              <w:spacing w:line="500" w:lineRule="exact"/>
              <w:ind w:firstLine="481" w:firstLineChars="200"/>
              <w:rPr>
                <w:b/>
                <w:bCs/>
                <w:kern w:val="0"/>
                <w:sz w:val="24"/>
              </w:rPr>
            </w:pPr>
            <w:r>
              <w:rPr>
                <w:rFonts w:hint="eastAsia"/>
                <w:b/>
                <w:bCs/>
                <w:kern w:val="0"/>
                <w:sz w:val="24"/>
              </w:rPr>
              <w:t>三、其他符合性分析</w:t>
            </w:r>
          </w:p>
          <w:p>
            <w:pPr>
              <w:autoSpaceDE w:val="0"/>
              <w:autoSpaceDN w:val="0"/>
              <w:adjustRightInd w:val="0"/>
              <w:snapToGrid w:val="0"/>
              <w:spacing w:line="500" w:lineRule="exact"/>
              <w:ind w:firstLine="480" w:firstLineChars="200"/>
              <w:rPr>
                <w:kern w:val="0"/>
                <w:sz w:val="24"/>
              </w:rPr>
            </w:pPr>
            <w:r>
              <w:rPr>
                <w:rFonts w:hint="eastAsia"/>
                <w:kern w:val="0"/>
                <w:sz w:val="24"/>
              </w:rPr>
              <w:t>本项目与相关政策、规划符合性分析详见下表。</w:t>
            </w:r>
          </w:p>
          <w:p>
            <w:pPr>
              <w:autoSpaceDE w:val="0"/>
              <w:autoSpaceDN w:val="0"/>
              <w:adjustRightInd w:val="0"/>
              <w:snapToGrid w:val="0"/>
              <w:spacing w:line="500" w:lineRule="exact"/>
              <w:ind w:firstLine="481" w:firstLineChars="200"/>
              <w:jc w:val="center"/>
              <w:rPr>
                <w:b/>
                <w:bCs/>
                <w:sz w:val="24"/>
              </w:rPr>
            </w:pPr>
            <w:r>
              <w:rPr>
                <w:b/>
                <w:bCs/>
                <w:sz w:val="24"/>
              </w:rPr>
              <w:t>表1-</w:t>
            </w:r>
            <w:r>
              <w:rPr>
                <w:rFonts w:hint="eastAsia"/>
                <w:b/>
                <w:bCs/>
                <w:sz w:val="24"/>
              </w:rPr>
              <w:t xml:space="preserve">4 </w:t>
            </w:r>
            <w:r>
              <w:rPr>
                <w:b/>
                <w:bCs/>
                <w:sz w:val="24"/>
              </w:rPr>
              <w:t>与相关政策、规划符合性分析</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43"/>
              <w:gridCol w:w="7125"/>
              <w:gridCol w:w="36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657" w:type="pct"/>
                  <w:vAlign w:val="center"/>
                </w:tcPr>
                <w:p>
                  <w:pPr>
                    <w:adjustRightInd w:val="0"/>
                    <w:snapToGrid w:val="0"/>
                    <w:jc w:val="center"/>
                    <w:rPr>
                      <w:b/>
                      <w:bCs/>
                      <w:kern w:val="0"/>
                      <w:szCs w:val="21"/>
                    </w:rPr>
                  </w:pPr>
                  <w:r>
                    <w:rPr>
                      <w:b/>
                      <w:bCs/>
                      <w:kern w:val="0"/>
                      <w:szCs w:val="21"/>
                    </w:rPr>
                    <w:t>政策</w:t>
                  </w:r>
                </w:p>
              </w:tc>
              <w:tc>
                <w:tcPr>
                  <w:tcW w:w="2853" w:type="pct"/>
                  <w:vAlign w:val="center"/>
                </w:tcPr>
                <w:p>
                  <w:pPr>
                    <w:adjustRightInd w:val="0"/>
                    <w:snapToGrid w:val="0"/>
                    <w:jc w:val="center"/>
                    <w:rPr>
                      <w:b/>
                      <w:bCs/>
                      <w:kern w:val="0"/>
                      <w:szCs w:val="21"/>
                    </w:rPr>
                  </w:pPr>
                  <w:r>
                    <w:rPr>
                      <w:b/>
                      <w:bCs/>
                      <w:kern w:val="0"/>
                      <w:szCs w:val="21"/>
                    </w:rPr>
                    <w:t>相关政策要求</w:t>
                  </w:r>
                </w:p>
              </w:tc>
              <w:tc>
                <w:tcPr>
                  <w:tcW w:w="1490" w:type="pct"/>
                  <w:vAlign w:val="center"/>
                </w:tcPr>
                <w:p>
                  <w:pPr>
                    <w:adjustRightInd w:val="0"/>
                    <w:snapToGrid w:val="0"/>
                    <w:jc w:val="center"/>
                    <w:rPr>
                      <w:b/>
                      <w:bCs/>
                      <w:kern w:val="0"/>
                      <w:szCs w:val="21"/>
                    </w:rPr>
                  </w:pPr>
                  <w:r>
                    <w:rPr>
                      <w:b/>
                      <w:bCs/>
                      <w:kern w:val="0"/>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7" w:type="pct"/>
                  <w:vAlign w:val="center"/>
                </w:tcPr>
                <w:p>
                  <w:pPr>
                    <w:adjustRightInd w:val="0"/>
                    <w:snapToGrid w:val="0"/>
                    <w:jc w:val="center"/>
                    <w:rPr>
                      <w:kern w:val="0"/>
                      <w:szCs w:val="21"/>
                    </w:rPr>
                  </w:pPr>
                  <w:r>
                    <w:rPr>
                      <w:rFonts w:hint="eastAsia"/>
                      <w:kern w:val="0"/>
                      <w:szCs w:val="21"/>
                    </w:rPr>
                    <w:t>《中华人民共和国大气污染防治法》（2018年10月26日第二次修正）</w:t>
                  </w:r>
                </w:p>
              </w:tc>
              <w:tc>
                <w:tcPr>
                  <w:tcW w:w="2853" w:type="pct"/>
                  <w:vAlign w:val="center"/>
                </w:tcPr>
                <w:p>
                  <w:pPr>
                    <w:adjustRightInd w:val="0"/>
                    <w:snapToGrid w:val="0"/>
                    <w:rPr>
                      <w:kern w:val="0"/>
                      <w:szCs w:val="21"/>
                    </w:rPr>
                  </w:pPr>
                  <w:r>
                    <w:rPr>
                      <w:rFonts w:hint="eastAsia"/>
                      <w:kern w:val="0"/>
                      <w:szCs w:val="21"/>
                    </w:rPr>
                    <w:t>国家推行煤炭洗选加工，降低煤炭的硫分和灰分，限制高硫分、高灰分煤炭的开采。新建煤矿应当同步建设配套的煤炭洗选设施，使煤炭的硫分、灰分含量达到规定标准；已建成的煤矿除所采煤炭属于低硫分、低灰分或者根据已达标排放的燃煤电厂要求不需要洗选的以外，应当限期建成配套的煤炭洗选设施。</w:t>
                  </w:r>
                </w:p>
                <w:p>
                  <w:pPr>
                    <w:adjustRightInd w:val="0"/>
                    <w:snapToGrid w:val="0"/>
                    <w:rPr>
                      <w:kern w:val="0"/>
                      <w:szCs w:val="21"/>
                    </w:rPr>
                  </w:pPr>
                  <w:r>
                    <w:rPr>
                      <w:rFonts w:hint="eastAsia"/>
                      <w:kern w:val="0"/>
                      <w:szCs w:val="21"/>
                    </w:rPr>
                    <w:t>运输煤炭、垃圾、渣土、砂石、土方、灰浆等散装、流体物料的车辆应当采取密闭或者其他措施防止物料遗撒造成扬尘污染，并按照规定路线行驶。装卸物料应当采取密闭或者喷淋等方式防治扬尘污染。</w:t>
                  </w:r>
                </w:p>
              </w:tc>
              <w:tc>
                <w:tcPr>
                  <w:tcW w:w="1490" w:type="pct"/>
                  <w:vAlign w:val="center"/>
                </w:tcPr>
                <w:p>
                  <w:pPr>
                    <w:pStyle w:val="58"/>
                    <w:jc w:val="both"/>
                    <w:rPr>
                      <w:kern w:val="0"/>
                      <w:szCs w:val="21"/>
                    </w:rPr>
                  </w:pPr>
                  <w:r>
                    <w:rPr>
                      <w:rFonts w:hint="eastAsia"/>
                      <w:kern w:val="0"/>
                      <w:szCs w:val="21"/>
                    </w:rPr>
                    <w:t>本项目属于煤炭洗选项目，本项目运输煤炭采取覆盖苫布等其他措施防止物料遗撒造成扬尘污染，并按照规定路线行驶，装卸物料同时采取密闭和喷淋等方式防治扬尘污染。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7" w:type="pct"/>
                  <w:vAlign w:val="center"/>
                </w:tcPr>
                <w:p>
                  <w:pPr>
                    <w:adjustRightInd w:val="0"/>
                    <w:snapToGrid w:val="0"/>
                    <w:jc w:val="center"/>
                    <w:rPr>
                      <w:kern w:val="0"/>
                      <w:szCs w:val="21"/>
                    </w:rPr>
                  </w:pPr>
                  <w:r>
                    <w:rPr>
                      <w:rFonts w:hint="eastAsia"/>
                      <w:kern w:val="0"/>
                      <w:szCs w:val="21"/>
                    </w:rPr>
                    <w:t>《环境空气细颗粒物污染综合防治技术政策》</w:t>
                  </w:r>
                </w:p>
              </w:tc>
              <w:tc>
                <w:tcPr>
                  <w:tcW w:w="2853" w:type="pct"/>
                  <w:vAlign w:val="center"/>
                </w:tcPr>
                <w:p>
                  <w:pPr>
                    <w:adjustRightInd w:val="0"/>
                    <w:snapToGrid w:val="0"/>
                    <w:rPr>
                      <w:kern w:val="0"/>
                      <w:szCs w:val="21"/>
                    </w:rPr>
                  </w:pPr>
                  <w:r>
                    <w:rPr>
                      <w:rFonts w:hint="eastAsia"/>
                      <w:kern w:val="0"/>
                      <w:szCs w:val="21"/>
                    </w:rPr>
                    <w:t>应将能源合理开发利用作为防治细颗粒物污染的优先领域，实行煤炭消费总量控制，大力发展清洁能源。天然气等清洁能源应优先供应居民日常生活使用。在大型城市应不断减少煤炭在能源供应中的比重。限制高硫份或高灰份煤炭的开采、使用和进口，提高煤炭洗选比例，研究推广煤炭清洁化利用技术减少燃烧煤炭造成的污染物排放。</w:t>
                  </w:r>
                </w:p>
                <w:p>
                  <w:pPr>
                    <w:adjustRightInd w:val="0"/>
                    <w:snapToGrid w:val="0"/>
                    <w:rPr>
                      <w:kern w:val="0"/>
                      <w:szCs w:val="21"/>
                    </w:rPr>
                  </w:pPr>
                  <w:r>
                    <w:rPr>
                      <w:rFonts w:hint="eastAsia"/>
                      <w:kern w:val="0"/>
                      <w:szCs w:val="21"/>
                    </w:rPr>
                    <w:t>对各种施工工地、各种粉状物料贮存场、各种港口装卸码头等，应采取设置围挡墙、防尘网和喷洒抑尘剂等有效的防尘、抑尘措施，防止颗粒物逸散；设置车辆清洗装置，保持上路行驶车辆的清洁；鼓励各类土建工程使用预搅拌的商品混凝土。</w:t>
                  </w:r>
                </w:p>
              </w:tc>
              <w:tc>
                <w:tcPr>
                  <w:tcW w:w="1490" w:type="pct"/>
                  <w:vAlign w:val="center"/>
                </w:tcPr>
                <w:p>
                  <w:pPr>
                    <w:pStyle w:val="58"/>
                    <w:jc w:val="both"/>
                    <w:rPr>
                      <w:kern w:val="0"/>
                      <w:szCs w:val="21"/>
                    </w:rPr>
                  </w:pPr>
                  <w:r>
                    <w:rPr>
                      <w:rFonts w:hint="eastAsia"/>
                      <w:kern w:val="0"/>
                      <w:szCs w:val="21"/>
                    </w:rPr>
                    <w:t>本项目采用成熟的选煤工艺，设有全过程自动控制手段，提高煤炭洗选比例。</w:t>
                  </w:r>
                </w:p>
                <w:p>
                  <w:pPr>
                    <w:pStyle w:val="58"/>
                    <w:jc w:val="both"/>
                    <w:rPr>
                      <w:kern w:val="0"/>
                      <w:szCs w:val="21"/>
                    </w:rPr>
                  </w:pPr>
                  <w:r>
                    <w:rPr>
                      <w:rFonts w:hint="eastAsia"/>
                      <w:kern w:val="0"/>
                      <w:szCs w:val="21"/>
                    </w:rPr>
                    <w:t>本项目厂区全部硬化，本项目各物料堆放库均为密闭厂房，配套设置有洒水喷淋装置等措施防止颗粒物逸散，车辆清洗，保持上路行驶车辆的清洁。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7" w:type="pct"/>
                  <w:vAlign w:val="center"/>
                </w:tcPr>
                <w:p>
                  <w:pPr>
                    <w:adjustRightInd w:val="0"/>
                    <w:snapToGrid w:val="0"/>
                    <w:jc w:val="center"/>
                    <w:rPr>
                      <w:kern w:val="0"/>
                      <w:szCs w:val="21"/>
                    </w:rPr>
                  </w:pPr>
                  <w:r>
                    <w:rPr>
                      <w:rFonts w:hint="eastAsia"/>
                      <w:kern w:val="0"/>
                      <w:szCs w:val="21"/>
                    </w:rPr>
                    <w:t>《黑龙江省大气污染防治行动计划实施细则》</w:t>
                  </w:r>
                </w:p>
              </w:tc>
              <w:tc>
                <w:tcPr>
                  <w:tcW w:w="2853" w:type="pct"/>
                  <w:vAlign w:val="center"/>
                </w:tcPr>
                <w:p>
                  <w:pPr>
                    <w:adjustRightInd w:val="0"/>
                    <w:snapToGrid w:val="0"/>
                    <w:rPr>
                      <w:kern w:val="0"/>
                      <w:szCs w:val="21"/>
                    </w:rPr>
                  </w:pPr>
                  <w:r>
                    <w:rPr>
                      <w:rFonts w:hint="eastAsia"/>
                      <w:kern w:val="0"/>
                      <w:szCs w:val="21"/>
                    </w:rPr>
                    <w:t>本省推行煤炭洗选加工，降低煤炭的硫分和灰分。生产煤炭的硫分和灰分含量应当达到规定标准。</w:t>
                  </w:r>
                </w:p>
                <w:p>
                  <w:pPr>
                    <w:adjustRightInd w:val="0"/>
                    <w:snapToGrid w:val="0"/>
                    <w:rPr>
                      <w:kern w:val="0"/>
                      <w:szCs w:val="21"/>
                    </w:rPr>
                  </w:pPr>
                  <w:r>
                    <w:rPr>
                      <w:rFonts w:hint="eastAsia"/>
                      <w:kern w:val="0"/>
                      <w:szCs w:val="21"/>
                    </w:rPr>
                    <w:t>运输煤炭、垃圾、渣土、砂石、土方、灰浆等散装、流体物料的车辆，应当采取密闭或者其他措施防止物料遗撒、泄漏，并按照规定的路线和时间行驶。</w:t>
                  </w:r>
                </w:p>
              </w:tc>
              <w:tc>
                <w:tcPr>
                  <w:tcW w:w="1490" w:type="pct"/>
                  <w:vAlign w:val="center"/>
                </w:tcPr>
                <w:p>
                  <w:pPr>
                    <w:pStyle w:val="58"/>
                    <w:jc w:val="both"/>
                    <w:rPr>
                      <w:kern w:val="0"/>
                      <w:szCs w:val="21"/>
                    </w:rPr>
                  </w:pPr>
                  <w:r>
                    <w:rPr>
                      <w:rFonts w:hint="eastAsia"/>
                      <w:kern w:val="0"/>
                      <w:szCs w:val="21"/>
                    </w:rPr>
                    <w:t>本项目生产后煤炭的硫分和灰分含量应达到规定标准。</w:t>
                  </w:r>
                </w:p>
                <w:p>
                  <w:pPr>
                    <w:pStyle w:val="58"/>
                    <w:jc w:val="both"/>
                    <w:rPr>
                      <w:kern w:val="0"/>
                      <w:szCs w:val="21"/>
                    </w:rPr>
                  </w:pPr>
                  <w:r>
                    <w:rPr>
                      <w:rFonts w:hint="eastAsia"/>
                      <w:kern w:val="0"/>
                      <w:szCs w:val="21"/>
                    </w:rPr>
                    <w:t>本项目煤炭运输车辆在厂外道路行驶过程中，加盖苫布并控制车速，经过敏感地段时减速慢行，减少行使过程扬尘扬散；防止物料遗撒、泄漏，并按照规定的路线和时间行驶。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57" w:type="pct"/>
                  <w:vAlign w:val="center"/>
                </w:tcPr>
                <w:p>
                  <w:pPr>
                    <w:adjustRightInd w:val="0"/>
                    <w:snapToGrid w:val="0"/>
                    <w:jc w:val="center"/>
                    <w:rPr>
                      <w:kern w:val="0"/>
                      <w:szCs w:val="21"/>
                    </w:rPr>
                  </w:pPr>
                  <w:r>
                    <w:rPr>
                      <w:rFonts w:hint="eastAsia"/>
                      <w:kern w:val="0"/>
                      <w:szCs w:val="21"/>
                    </w:rPr>
                    <w:t>《黑龙江省人民代表大会常务委员会关于修改〈黑龙江省大气污染防治条例〉的决定》（2018年12月27日）</w:t>
                  </w:r>
                </w:p>
              </w:tc>
              <w:tc>
                <w:tcPr>
                  <w:tcW w:w="2853" w:type="pct"/>
                  <w:vAlign w:val="center"/>
                </w:tcPr>
                <w:p>
                  <w:pPr>
                    <w:adjustRightInd w:val="0"/>
                    <w:snapToGrid w:val="0"/>
                    <w:rPr>
                      <w:kern w:val="0"/>
                      <w:szCs w:val="21"/>
                    </w:rPr>
                  </w:pPr>
                  <w:r>
                    <w:rPr>
                      <w:rFonts w:hint="eastAsia"/>
                      <w:kern w:val="0"/>
                      <w:szCs w:val="21"/>
                    </w:rPr>
                    <w:t>在施工工地设置硬质围挡，并负责维护；在施工工地公示扬尘污染防治措施、负责人、扬尘监督管理主管部门等信息；在施工工地出口设置车辆冲洗设施，车辆不得带泥上路，施工工地通道以及出入口周边的道路不得存放建筑垃圾；施工工地出入口、主要通道、加工区等采取硬化处理措施；对施工工地内堆存的建筑土方、工程渣土、建筑垃圾，采取密闭式防尘网遮盖：在施工工地建筑结构脚手架外侧设置有效抑尘的密闭式防尘网；采取密闭方式及时清运建筑垃圾；有效防尘、降尘的其他措施。</w:t>
                  </w:r>
                </w:p>
              </w:tc>
              <w:tc>
                <w:tcPr>
                  <w:tcW w:w="1490" w:type="pct"/>
                  <w:vAlign w:val="center"/>
                </w:tcPr>
                <w:p>
                  <w:pPr>
                    <w:pStyle w:val="58"/>
                    <w:jc w:val="both"/>
                    <w:rPr>
                      <w:kern w:val="0"/>
                      <w:szCs w:val="21"/>
                    </w:rPr>
                  </w:pPr>
                  <w:r>
                    <w:rPr>
                      <w:rFonts w:hint="eastAsia"/>
                      <w:kern w:val="0"/>
                      <w:szCs w:val="21"/>
                    </w:rPr>
                    <w:t>项目施工场地设置围挡，出入工地的车辆进行清洗，施工废水经沉淀后回用于生产，厂区内的道路采取地面硬化。对施工工地内堆存的建筑土方、工程渣土、建筑垃圾，采取密闭式防尘网遮盖。及时清理垃圾。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Align w:val="center"/>
                </w:tcPr>
                <w:p>
                  <w:pPr>
                    <w:adjustRightInd w:val="0"/>
                    <w:snapToGrid w:val="0"/>
                    <w:jc w:val="center"/>
                    <w:rPr>
                      <w:kern w:val="0"/>
                      <w:szCs w:val="21"/>
                    </w:rPr>
                  </w:pPr>
                  <w:r>
                    <w:rPr>
                      <w:kern w:val="0"/>
                      <w:szCs w:val="21"/>
                    </w:rPr>
                    <w:t>《黑龙江省空气质量持续改善行动计划实施方案》</w:t>
                  </w:r>
                </w:p>
              </w:tc>
              <w:tc>
                <w:tcPr>
                  <w:tcW w:w="2853" w:type="pct"/>
                  <w:vAlign w:val="center"/>
                </w:tcPr>
                <w:p>
                  <w:pPr>
                    <w:adjustRightInd w:val="0"/>
                    <w:snapToGrid w:val="0"/>
                    <w:rPr>
                      <w:kern w:val="0"/>
                      <w:szCs w:val="21"/>
                    </w:rPr>
                  </w:pPr>
                  <w:r>
                    <w:rPr>
                      <w:kern w:val="0"/>
                      <w:szCs w:val="21"/>
                    </w:rPr>
                    <w:t>1、积极推进燃煤锅炉淘汰改造。各地要将燃煤供热锅炉替代项目纳入城镇供热规划。县级及以上城市建成区原则上不再新建35蒸吨/小时及以下燃煤锅炉，其他地区原则上不再新建10蒸吨/小时及以下燃煤锅炉。加快热力管网建设，依托电厂、大型工业企业开展远距离供热示范，充分释放热电联产、工业余热等供热能力，淘汰管网覆盖范围内的供热燃煤锅炉和散煤。到2025年，哈尔滨市、佳木斯市、七台河市、绥化市基本完成城市建成区35蒸吨/小时及以下燃煤锅炉淘汰；哈尔滨市、绥化市基本淘汰行政区域内10蒸吨/小时及以下的燃煤锅炉。（省发展改革委、省生态环境厅、省住房城乡建设厅、省市场监管局等按职责分工负责）</w:t>
                  </w:r>
                </w:p>
                <w:p>
                  <w:pPr>
                    <w:adjustRightInd w:val="0"/>
                    <w:snapToGrid w:val="0"/>
                    <w:rPr>
                      <w:kern w:val="0"/>
                      <w:szCs w:val="21"/>
                    </w:rPr>
                  </w:pPr>
                  <w:r>
                    <w:rPr>
                      <w:kern w:val="0"/>
                      <w:szCs w:val="21"/>
                    </w:rPr>
                    <w:t>2、</w:t>
                  </w:r>
                  <w:r>
                    <w:rPr>
                      <w:rFonts w:hint="eastAsia"/>
                      <w:kern w:val="0"/>
                      <w:szCs w:val="21"/>
                    </w:rPr>
                    <w:t>推进重点行业污染深度治理。高质量推动钢铁、水泥、焦化等重点行业及锅炉超低排放改造。推进鸡西市、双鸭山市、七台河市等煤炭类城市焦化企业超低排放改造，在全流程超低排放改造过程中，改造周期较长的，优先推动氮氧化物超低排放改造。到2025年，哈尔滨市、齐齐哈尔市、双鸭山市、伊春市4家长流程钢铁企业基本完成超低排放改造；在用65蒸吨/小时以上燃煤锅炉（含电力）基本实现超低排放。（省生态环境厅牵头，省发展改革委、省工业和信息化厅等按职责分工负责）</w:t>
                  </w:r>
                </w:p>
              </w:tc>
              <w:tc>
                <w:tcPr>
                  <w:tcW w:w="1490" w:type="pct"/>
                  <w:vAlign w:val="center"/>
                </w:tcPr>
                <w:p>
                  <w:pPr>
                    <w:pStyle w:val="58"/>
                    <w:jc w:val="both"/>
                    <w:rPr>
                      <w:kern w:val="0"/>
                      <w:szCs w:val="21"/>
                    </w:rPr>
                  </w:pPr>
                  <w:r>
                    <w:rPr>
                      <w:kern w:val="0"/>
                      <w:szCs w:val="21"/>
                    </w:rPr>
                    <w:t>1、</w:t>
                  </w:r>
                  <w:r>
                    <w:rPr>
                      <w:rFonts w:hint="eastAsia"/>
                      <w:kern w:val="0"/>
                      <w:szCs w:val="21"/>
                    </w:rPr>
                    <w:t>本项目无需生产用热，冬季办公室和生产车间内采用电取暖，不涉及建设燃煤供热锅炉。</w:t>
                  </w:r>
                </w:p>
                <w:p>
                  <w:pPr>
                    <w:adjustRightInd w:val="0"/>
                    <w:snapToGrid w:val="0"/>
                    <w:rPr>
                      <w:kern w:val="0"/>
                      <w:szCs w:val="21"/>
                    </w:rPr>
                  </w:pPr>
                  <w:r>
                    <w:rPr>
                      <w:kern w:val="0"/>
                      <w:szCs w:val="21"/>
                    </w:rPr>
                    <w:t>2、</w:t>
                  </w:r>
                  <w:r>
                    <w:rPr>
                      <w:rFonts w:hint="eastAsia"/>
                      <w:kern w:val="0"/>
                      <w:szCs w:val="21"/>
                    </w:rPr>
                    <w:t>本项目不属于文中提到的钢铁、水泥、焦化等重点行业及锅炉超低排放改造相关项目。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Align w:val="center"/>
                </w:tcPr>
                <w:p>
                  <w:pPr>
                    <w:adjustRightInd w:val="0"/>
                    <w:snapToGrid w:val="0"/>
                    <w:jc w:val="center"/>
                    <w:rPr>
                      <w:kern w:val="0"/>
                      <w:szCs w:val="21"/>
                    </w:rPr>
                  </w:pPr>
                  <w:r>
                    <w:rPr>
                      <w:rFonts w:hint="eastAsia"/>
                      <w:kern w:val="0"/>
                      <w:szCs w:val="21"/>
                    </w:rPr>
                    <w:t>《鹤岗市国土空间总体规划（2021-2035年）》</w:t>
                  </w:r>
                </w:p>
              </w:tc>
              <w:tc>
                <w:tcPr>
                  <w:tcW w:w="2853" w:type="pct"/>
                  <w:vAlign w:val="center"/>
                </w:tcPr>
                <w:p>
                  <w:pPr>
                    <w:adjustRightInd w:val="0"/>
                    <w:snapToGrid w:val="0"/>
                    <w:rPr>
                      <w:kern w:val="0"/>
                      <w:szCs w:val="21"/>
                    </w:rPr>
                  </w:pPr>
                  <w:r>
                    <w:rPr>
                      <w:rFonts w:hint="eastAsia"/>
                      <w:kern w:val="0"/>
                      <w:szCs w:val="21"/>
                    </w:rPr>
                    <w:t>4.2采取硬措施切实保护耕地与永久基本农田；划定永久基本农田保护红线，落实耕地保护任务，严格耕地用途管制，防止耕地非农化、非粮化。全力以赴推进建设性保护，大力建设高标准农田。多手段实时动态监测，严格执法监管和问责。</w:t>
                  </w:r>
                </w:p>
                <w:p>
                  <w:pPr>
                    <w:adjustRightInd w:val="0"/>
                    <w:snapToGrid w:val="0"/>
                    <w:rPr>
                      <w:kern w:val="0"/>
                      <w:szCs w:val="21"/>
                    </w:rPr>
                  </w:pPr>
                  <w:r>
                    <w:rPr>
                      <w:rFonts w:hint="eastAsia"/>
                      <w:kern w:val="0"/>
                      <w:szCs w:val="21"/>
                    </w:rPr>
                    <w:t>5.3加强水资源刚性约束，优化区域水资源调配，推进水资源节约、集约利用。</w:t>
                  </w:r>
                </w:p>
              </w:tc>
              <w:tc>
                <w:tcPr>
                  <w:tcW w:w="1490" w:type="pct"/>
                  <w:vAlign w:val="center"/>
                </w:tcPr>
                <w:p>
                  <w:pPr>
                    <w:pStyle w:val="58"/>
                    <w:jc w:val="both"/>
                    <w:rPr>
                      <w:kern w:val="0"/>
                      <w:szCs w:val="21"/>
                    </w:rPr>
                  </w:pPr>
                  <w:r>
                    <w:rPr>
                      <w:rFonts w:hint="eastAsia"/>
                      <w:kern w:val="0"/>
                      <w:szCs w:val="21"/>
                    </w:rPr>
                    <w:t>本项目选址位置土地利用现状为工业用地，不涉及占用耕地及永久基本农田。</w:t>
                  </w:r>
                </w:p>
                <w:p>
                  <w:pPr>
                    <w:pStyle w:val="58"/>
                    <w:jc w:val="both"/>
                    <w:rPr>
                      <w:kern w:val="0"/>
                      <w:szCs w:val="21"/>
                    </w:rPr>
                  </w:pPr>
                  <w:r>
                    <w:rPr>
                      <w:rFonts w:hint="eastAsia"/>
                      <w:kern w:val="0"/>
                      <w:szCs w:val="21"/>
                    </w:rPr>
                    <w:t>本项目践行水资源节约利用，洗煤废水、压滤机清洗废水和冲洗废水等生产废水均收集进入厂区自建循环沉淀池，经过处理后循环使用，不外排。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Align w:val="center"/>
                </w:tcPr>
                <w:p>
                  <w:pPr>
                    <w:adjustRightInd w:val="0"/>
                    <w:snapToGrid w:val="0"/>
                    <w:jc w:val="center"/>
                    <w:rPr>
                      <w:kern w:val="0"/>
                      <w:szCs w:val="21"/>
                    </w:rPr>
                  </w:pPr>
                  <w:r>
                    <w:rPr>
                      <w:rFonts w:hint="eastAsia"/>
                      <w:kern w:val="0"/>
                      <w:szCs w:val="21"/>
                    </w:rPr>
                    <w:t>《鹤岗市空气质量持续改善行动计划实施方案》</w:t>
                  </w:r>
                </w:p>
              </w:tc>
              <w:tc>
                <w:tcPr>
                  <w:tcW w:w="2853" w:type="pct"/>
                  <w:vAlign w:val="center"/>
                </w:tcPr>
                <w:p>
                  <w:pPr>
                    <w:adjustRightInd w:val="0"/>
                    <w:snapToGrid w:val="0"/>
                    <w:rPr>
                      <w:kern w:val="0"/>
                      <w:szCs w:val="21"/>
                    </w:rPr>
                  </w:pPr>
                  <w:r>
                    <w:rPr>
                      <w:rFonts w:hint="eastAsia"/>
                      <w:kern w:val="0"/>
                      <w:szCs w:val="21"/>
                    </w:rPr>
                    <w:t>深化扬尘污染综合治理。全面推行绿色施工，严格执行“六个百分之百”，将防治扬尘污染费用纳入工程造价。到2025年，装配式建筑占新建建筑面积的比例达到10%；城市建成区道路机械化清扫率达80%左右，县城达70%左右。对城市公共裸地进行排查建档并采取防尘措施。城市大型煤炭、矿石等干散货码头物料堆场基本完成抑尘设施建设和物料输送系统封闭改造。</w:t>
                  </w:r>
                </w:p>
              </w:tc>
              <w:tc>
                <w:tcPr>
                  <w:tcW w:w="1490" w:type="pct"/>
                  <w:vAlign w:val="center"/>
                </w:tcPr>
                <w:p>
                  <w:pPr>
                    <w:pStyle w:val="58"/>
                    <w:jc w:val="both"/>
                    <w:rPr>
                      <w:kern w:val="0"/>
                      <w:szCs w:val="21"/>
                    </w:rPr>
                  </w:pPr>
                  <w:r>
                    <w:rPr>
                      <w:rFonts w:hint="eastAsia"/>
                      <w:kern w:val="0"/>
                      <w:szCs w:val="21"/>
                    </w:rPr>
                    <w:t>本项目属于煤炭洗选项目，厂区装运过程采取洒水喷淋降尘、运输和转运工段采取输送带全密闭、减小输送高度、且运输过程中采用苫布覆盖限速；项目原煤、中煤和矸石分别设置相应的堆放库，堆放库为钢结构全封闭厂房，物料不进行长期堆存。本项目厂界无组织排放你能够满足《煤炭工业污染物排放标准》（GB20426-2006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657" w:type="pct"/>
                  <w:vAlign w:val="center"/>
                </w:tcPr>
                <w:p>
                  <w:pPr>
                    <w:adjustRightInd w:val="0"/>
                    <w:snapToGrid w:val="0"/>
                    <w:jc w:val="center"/>
                    <w:rPr>
                      <w:kern w:val="0"/>
                      <w:szCs w:val="21"/>
                    </w:rPr>
                  </w:pPr>
                  <w:r>
                    <w:rPr>
                      <w:rFonts w:hint="eastAsia"/>
                      <w:kern w:val="0"/>
                      <w:szCs w:val="21"/>
                    </w:rPr>
                    <w:t>《</w:t>
                  </w:r>
                  <w:r>
                    <w:rPr>
                      <w:kern w:val="0"/>
                      <w:szCs w:val="21"/>
                    </w:rPr>
                    <w:t>鹤岗市“十四五”生态环境保护规划</w:t>
                  </w:r>
                  <w:r>
                    <w:rPr>
                      <w:rFonts w:hint="eastAsia"/>
                      <w:kern w:val="0"/>
                      <w:szCs w:val="21"/>
                    </w:rPr>
                    <w:t>》</w:t>
                  </w:r>
                </w:p>
              </w:tc>
              <w:tc>
                <w:tcPr>
                  <w:tcW w:w="2853" w:type="pct"/>
                  <w:vAlign w:val="center"/>
                </w:tcPr>
                <w:p>
                  <w:pPr>
                    <w:adjustRightInd w:val="0"/>
                    <w:snapToGrid w:val="0"/>
                    <w:rPr>
                      <w:kern w:val="0"/>
                      <w:szCs w:val="21"/>
                    </w:rPr>
                  </w:pPr>
                  <w:r>
                    <w:rPr>
                      <w:rFonts w:hint="eastAsia"/>
                      <w:kern w:val="0"/>
                      <w:szCs w:val="21"/>
                    </w:rPr>
                    <w:t>推进扬尘管控。全面推行绿色施工，严格落实施工工地扬尘管控责任，加强施工扬尘监管执法。推进低尘机械化湿式清扫作业，加大城市出入口、城乡接合部等重要路段冲洗保洁力度，渣土车实施硬覆盖与全密闭运输，强化绿化用地扬尘治理。加大工业企业扬尘管控，推进抑尘设施建设。城市裸露地面、粉粒类物料堆放以及大型煤炭和矿石码头、干散货码头物料堆场，全面完成抑尘设施建设和物料输送系统封闭改造，鼓励有条件的码头堆场实施全封闭改造。</w:t>
                  </w:r>
                </w:p>
              </w:tc>
              <w:tc>
                <w:tcPr>
                  <w:tcW w:w="1490" w:type="pct"/>
                  <w:vAlign w:val="center"/>
                </w:tcPr>
                <w:p>
                  <w:pPr>
                    <w:pStyle w:val="58"/>
                    <w:jc w:val="both"/>
                    <w:rPr>
                      <w:kern w:val="0"/>
                      <w:szCs w:val="21"/>
                    </w:rPr>
                  </w:pPr>
                  <w:r>
                    <w:rPr>
                      <w:rFonts w:hint="eastAsia"/>
                      <w:kern w:val="0"/>
                      <w:szCs w:val="21"/>
                    </w:rPr>
                    <w:t>本项目加强扬尘管控，委派专人落实施工工地扬尘管控责任，项目施工期采取设置围挡，使用商品混凝土，粉性物料集中地点存放并加盖苫布等措施。干燥天气应经常性给沙堆洒水，保持沙堆一定的湿度，减少起尘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Align w:val="center"/>
                </w:tcPr>
                <w:p>
                  <w:pPr>
                    <w:adjustRightInd w:val="0"/>
                    <w:snapToGrid w:val="0"/>
                    <w:jc w:val="center"/>
                    <w:rPr>
                      <w:kern w:val="0"/>
                      <w:szCs w:val="21"/>
                    </w:rPr>
                  </w:pPr>
                  <w:r>
                    <w:rPr>
                      <w:rFonts w:hint="eastAsia"/>
                      <w:kern w:val="0"/>
                      <w:szCs w:val="21"/>
                    </w:rPr>
                    <w:t>《地下水管理条例（中华人民共和国国务院令第748号）》</w:t>
                  </w:r>
                </w:p>
              </w:tc>
              <w:tc>
                <w:tcPr>
                  <w:tcW w:w="2853" w:type="pct"/>
                  <w:vAlign w:val="center"/>
                </w:tcPr>
                <w:p>
                  <w:r>
                    <w:rPr>
                      <w:rFonts w:hint="eastAsia"/>
                      <w:kern w:val="0"/>
                      <w:szCs w:val="21"/>
                    </w:rPr>
                    <w:t>取用地下水的单位和个人应当遵守取水总量控制和定额管理要求，使用先进节约用水技术、工艺和设备，采取循环用水、综合利用及废水处理回用等措施，实施技术改造，降低用水消耗。地下水超采区的县级以上地方人民政府应当加强节水型社会建设，通过加大海绵城市建设力度、调整种植结构、推广节水农业、加强工业节水实施河湖地下水回补等措施，逐步实现地下水采补平衡。</w:t>
                  </w:r>
                </w:p>
              </w:tc>
              <w:tc>
                <w:tcPr>
                  <w:tcW w:w="1490" w:type="pct"/>
                  <w:vAlign w:val="center"/>
                </w:tcPr>
                <w:p>
                  <w:pPr>
                    <w:adjustRightInd w:val="0"/>
                    <w:snapToGrid w:val="0"/>
                    <w:rPr>
                      <w:kern w:val="0"/>
                      <w:szCs w:val="21"/>
                    </w:rPr>
                  </w:pPr>
                  <w:r>
                    <w:rPr>
                      <w:rFonts w:hint="eastAsia"/>
                      <w:kern w:val="0"/>
                      <w:szCs w:val="21"/>
                    </w:rPr>
                    <w:t>本单位严格遵守取水总量控制和定额管理要求，节约用水，采取循环用水，废水综合利用等措施，减少水资源消耗、最大程度提高水资源利用率。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Align w:val="center"/>
                </w:tcPr>
                <w:p>
                  <w:pPr>
                    <w:adjustRightInd w:val="0"/>
                    <w:snapToGrid w:val="0"/>
                    <w:jc w:val="center"/>
                    <w:rPr>
                      <w:kern w:val="0"/>
                      <w:szCs w:val="21"/>
                    </w:rPr>
                  </w:pPr>
                  <w:r>
                    <w:rPr>
                      <w:rFonts w:hint="eastAsia"/>
                      <w:szCs w:val="21"/>
                    </w:rPr>
                    <w:t>《水污染防治行动计划》（国发〔2015〕17号）</w:t>
                  </w:r>
                </w:p>
              </w:tc>
              <w:tc>
                <w:tcPr>
                  <w:tcW w:w="2853" w:type="pct"/>
                  <w:vAlign w:val="center"/>
                </w:tcPr>
                <w:p>
                  <w:pPr>
                    <w:rPr>
                      <w:kern w:val="0"/>
                      <w:szCs w:val="21"/>
                    </w:rPr>
                  </w:pPr>
                  <w:r>
                    <w:rPr>
                      <w:rFonts w:hint="eastAsia"/>
                      <w:szCs w:val="21"/>
                    </w:rPr>
                    <w:t>推进循环发展。加强工业水循环利用。推进矿井水综合利用，煤炭矿区的补充用水、周边地区生产和生态用水应优先使用矿井水，加强洗煤废水循环利用。</w:t>
                  </w:r>
                </w:p>
              </w:tc>
              <w:tc>
                <w:tcPr>
                  <w:tcW w:w="1490" w:type="pct"/>
                  <w:vAlign w:val="center"/>
                </w:tcPr>
                <w:p>
                  <w:pPr>
                    <w:adjustRightInd w:val="0"/>
                    <w:snapToGrid w:val="0"/>
                    <w:rPr>
                      <w:kern w:val="0"/>
                      <w:szCs w:val="21"/>
                    </w:rPr>
                  </w:pPr>
                  <w:r>
                    <w:rPr>
                      <w:rFonts w:hint="eastAsia"/>
                      <w:szCs w:val="21"/>
                    </w:rPr>
                    <w:t>本项目属于煤炭洗选项目，本项目洗煤废水循环利用，满足一级闭路循环要求，用水重复利用率不低于95%，本项目符合文件要求。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Align w:val="center"/>
                </w:tcPr>
                <w:p>
                  <w:pPr>
                    <w:widowControl/>
                    <w:rPr>
                      <w:szCs w:val="21"/>
                    </w:rPr>
                  </w:pPr>
                  <w:r>
                    <w:rPr>
                      <w:rFonts w:hint="eastAsia"/>
                      <w:szCs w:val="21"/>
                    </w:rPr>
                    <w:t>《黑龙江省水污染防治工作方案》（黑政发</w:t>
                  </w:r>
                </w:p>
                <w:p>
                  <w:pPr>
                    <w:adjustRightInd w:val="0"/>
                    <w:snapToGrid w:val="0"/>
                    <w:jc w:val="center"/>
                    <w:rPr>
                      <w:kern w:val="0"/>
                      <w:szCs w:val="21"/>
                    </w:rPr>
                  </w:pPr>
                  <w:r>
                    <w:rPr>
                      <w:rFonts w:hint="eastAsia"/>
                      <w:szCs w:val="21"/>
                    </w:rPr>
                    <w:t>〔</w:t>
                  </w:r>
                  <w:r>
                    <w:rPr>
                      <w:szCs w:val="21"/>
                    </w:rPr>
                    <w:t>2016</w:t>
                  </w:r>
                  <w:r>
                    <w:rPr>
                      <w:rFonts w:hint="eastAsia"/>
                      <w:szCs w:val="21"/>
                    </w:rPr>
                    <w:t>〕</w:t>
                  </w:r>
                  <w:r>
                    <w:rPr>
                      <w:szCs w:val="21"/>
                    </w:rPr>
                    <w:t>3</w:t>
                  </w:r>
                  <w:r>
                    <w:rPr>
                      <w:rFonts w:hint="eastAsia"/>
                      <w:szCs w:val="21"/>
                    </w:rPr>
                    <w:t>号）</w:t>
                  </w:r>
                </w:p>
              </w:tc>
              <w:tc>
                <w:tcPr>
                  <w:tcW w:w="2853" w:type="pct"/>
                  <w:vAlign w:val="center"/>
                </w:tcPr>
                <w:p>
                  <w:pPr>
                    <w:rPr>
                      <w:kern w:val="0"/>
                      <w:szCs w:val="21"/>
                    </w:rPr>
                  </w:pPr>
                  <w:r>
                    <w:rPr>
                      <w:rFonts w:hint="eastAsia"/>
                      <w:szCs w:val="21"/>
                    </w:rPr>
                    <w:t>加强工业水循环利用。以龙煤集团为重点，大力推进矿井水综合利用，满足周边农业、高耗水工业和缺水地区居民生活用水需求。加强洗煤废水循环利用。到2020年，国有重点煤矿矿井水综合 利用率达到75%。鼓励高耗水企业废水深度</w:t>
                  </w:r>
                  <w:r>
                    <w:rPr>
                      <w:szCs w:val="21"/>
                    </w:rPr>
                    <w:t>处</w:t>
                  </w:r>
                  <w:r>
                    <w:rPr>
                      <w:rFonts w:hint="eastAsia"/>
                      <w:szCs w:val="21"/>
                    </w:rPr>
                    <w:t>理回用，到2020年，全省工业 用水重复利用率不低于95%。</w:t>
                  </w:r>
                </w:p>
              </w:tc>
              <w:tc>
                <w:tcPr>
                  <w:tcW w:w="1490" w:type="pct"/>
                  <w:vAlign w:val="center"/>
                </w:tcPr>
                <w:p>
                  <w:pPr>
                    <w:adjustRightInd w:val="0"/>
                    <w:snapToGrid w:val="0"/>
                    <w:rPr>
                      <w:kern w:val="0"/>
                      <w:szCs w:val="21"/>
                    </w:rPr>
                  </w:pPr>
                  <w:r>
                    <w:rPr>
                      <w:rFonts w:hint="eastAsia"/>
                      <w:szCs w:val="21"/>
                    </w:rPr>
                    <w:t>本项目属于煤炭洗选项目，本项目洗煤废水循环利用，满足一级闭路循环要求，用水重复利用率不低于95%，本项目符合文件要求。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Align w:val="center"/>
                </w:tcPr>
                <w:p>
                  <w:pPr>
                    <w:widowControl/>
                    <w:rPr>
                      <w:szCs w:val="21"/>
                    </w:rPr>
                  </w:pPr>
                  <w:r>
                    <w:rPr>
                      <w:rFonts w:hint="eastAsia"/>
                      <w:kern w:val="0"/>
                      <w:szCs w:val="21"/>
                    </w:rPr>
                    <w:t>《清洁生产标准 煤炭采选业》（</w:t>
                  </w:r>
                  <w:r>
                    <w:rPr>
                      <w:kern w:val="0"/>
                      <w:szCs w:val="21"/>
                    </w:rPr>
                    <w:t>HJ446-2008</w:t>
                  </w:r>
                  <w:r>
                    <w:rPr>
                      <w:rFonts w:hint="eastAsia"/>
                      <w:kern w:val="0"/>
                      <w:szCs w:val="21"/>
                    </w:rPr>
                    <w:t>）</w:t>
                  </w:r>
                </w:p>
              </w:tc>
              <w:tc>
                <w:tcPr>
                  <w:tcW w:w="2853" w:type="pct"/>
                  <w:vAlign w:val="center"/>
                </w:tcPr>
                <w:p>
                  <w:pPr>
                    <w:adjustRightInd w:val="0"/>
                    <w:snapToGrid w:val="0"/>
                    <w:rPr>
                      <w:kern w:val="0"/>
                      <w:szCs w:val="21"/>
                    </w:rPr>
                  </w:pPr>
                  <w:r>
                    <w:rPr>
                      <w:rFonts w:hint="eastAsia"/>
                      <w:kern w:val="0"/>
                      <w:szCs w:val="21"/>
                    </w:rPr>
                    <w:t>1、总体要求：符合国家环保、产业政策要求，采用国内外先进的煤炭洗选、选煤水闭路循环、煤炭贮运生产工艺和技术设备。</w:t>
                  </w:r>
                </w:p>
                <w:p>
                  <w:pPr>
                    <w:adjustRightInd w:val="0"/>
                    <w:snapToGrid w:val="0"/>
                    <w:rPr>
                      <w:kern w:val="0"/>
                      <w:szCs w:val="21"/>
                    </w:rPr>
                  </w:pPr>
                  <w:r>
                    <w:rPr>
                      <w:rFonts w:hint="eastAsia"/>
                      <w:kern w:val="0"/>
                      <w:szCs w:val="21"/>
                    </w:rPr>
                    <w:t>2、原煤运输：由汽车加遮苫布原煤运进选煤厂的储煤设施。选煤厂到公路间道路必须硬化。</w:t>
                  </w:r>
                </w:p>
                <w:p>
                  <w:pPr>
                    <w:adjustRightInd w:val="0"/>
                    <w:snapToGrid w:val="0"/>
                    <w:rPr>
                      <w:kern w:val="0"/>
                      <w:szCs w:val="21"/>
                    </w:rPr>
                  </w:pPr>
                  <w:r>
                    <w:rPr>
                      <w:rFonts w:hint="eastAsia"/>
                      <w:kern w:val="0"/>
                      <w:szCs w:val="21"/>
                    </w:rPr>
                    <w:t>3、原煤储存：挡风抑尘措施和洒水喷淋装置的储煤场。</w:t>
                  </w:r>
                </w:p>
                <w:p>
                  <w:pPr>
                    <w:adjustRightInd w:val="0"/>
                    <w:snapToGrid w:val="0"/>
                    <w:rPr>
                      <w:kern w:val="0"/>
                      <w:szCs w:val="21"/>
                    </w:rPr>
                  </w:pPr>
                  <w:r>
                    <w:rPr>
                      <w:rFonts w:hint="eastAsia"/>
                      <w:kern w:val="0"/>
                      <w:szCs w:val="21"/>
                    </w:rPr>
                    <w:t>4、精煤、中煤、矸石贮存：精煤、中煤、矸石和经压滤处理后的煤泥分别进入设有挡风抑尘措施的储存场。多余矸石进入排矸场处置。</w:t>
                  </w:r>
                </w:p>
                <w:p>
                  <w:pPr>
                    <w:adjustRightInd w:val="0"/>
                    <w:snapToGrid w:val="0"/>
                    <w:rPr>
                      <w:kern w:val="0"/>
                      <w:szCs w:val="21"/>
                    </w:rPr>
                  </w:pPr>
                  <w:r>
                    <w:rPr>
                      <w:rFonts w:hint="eastAsia"/>
                      <w:kern w:val="0"/>
                      <w:szCs w:val="21"/>
                    </w:rPr>
                    <w:t>5、选煤工艺装备：由原煤的可选性确定采用成熟的选煤工艺设备，实现单元作业操作程序自动化，设有全过程自动控制手段。</w:t>
                  </w:r>
                </w:p>
                <w:p>
                  <w:pPr>
                    <w:rPr>
                      <w:szCs w:val="21"/>
                    </w:rPr>
                  </w:pPr>
                  <w:r>
                    <w:rPr>
                      <w:rFonts w:hint="eastAsia"/>
                      <w:kern w:val="0"/>
                      <w:szCs w:val="21"/>
                    </w:rPr>
                    <w:t>6、选煤水处理：选煤水处理系统采用普通浓缩机，并添加絮凝剂，尾煤采用压滤机口回收，并设有相同型号的事故浓缩池，吨入洗原煤补充水量&lt;0.15m</w:t>
                  </w:r>
                  <w:r>
                    <w:rPr>
                      <w:rFonts w:hint="eastAsia"/>
                      <w:kern w:val="0"/>
                      <w:szCs w:val="21"/>
                      <w:vertAlign w:val="superscript"/>
                    </w:rPr>
                    <w:t>3</w:t>
                  </w:r>
                  <w:r>
                    <w:rPr>
                      <w:rFonts w:hint="eastAsia"/>
                      <w:kern w:val="0"/>
                      <w:szCs w:val="21"/>
                    </w:rPr>
                    <w:t>，泥水达到闭路循环，不外排。</w:t>
                  </w:r>
                </w:p>
              </w:tc>
              <w:tc>
                <w:tcPr>
                  <w:tcW w:w="1490" w:type="pct"/>
                  <w:vAlign w:val="center"/>
                </w:tcPr>
                <w:p>
                  <w:pPr>
                    <w:pStyle w:val="58"/>
                    <w:jc w:val="both"/>
                    <w:rPr>
                      <w:kern w:val="0"/>
                      <w:szCs w:val="21"/>
                    </w:rPr>
                  </w:pPr>
                  <w:r>
                    <w:rPr>
                      <w:rFonts w:hint="eastAsia"/>
                      <w:kern w:val="0"/>
                      <w:szCs w:val="21"/>
                    </w:rPr>
                    <w:t>本项目洗煤工艺不属于淘汰落后工艺；洗煤废水采用闭路循环水洗煤工艺，且实现洗水一级闭路循环</w:t>
                  </w:r>
                </w:p>
                <w:p>
                  <w:pPr>
                    <w:pStyle w:val="58"/>
                    <w:jc w:val="both"/>
                    <w:rPr>
                      <w:kern w:val="0"/>
                      <w:szCs w:val="21"/>
                    </w:rPr>
                  </w:pPr>
                  <w:r>
                    <w:rPr>
                      <w:rFonts w:hint="eastAsia"/>
                      <w:kern w:val="0"/>
                      <w:szCs w:val="21"/>
                    </w:rPr>
                    <w:t>本项目运输车辆加盖苫布，煤场道路采取地面硬化措施。</w:t>
                  </w:r>
                </w:p>
                <w:p>
                  <w:pPr>
                    <w:pStyle w:val="58"/>
                    <w:jc w:val="both"/>
                    <w:rPr>
                      <w:kern w:val="0"/>
                      <w:szCs w:val="21"/>
                    </w:rPr>
                  </w:pPr>
                  <w:r>
                    <w:rPr>
                      <w:rFonts w:hint="eastAsia"/>
                      <w:kern w:val="0"/>
                      <w:szCs w:val="21"/>
                    </w:rPr>
                    <w:t>原煤、中煤场、矸石暂存场均设置全封闭厂房及洒水喷淋装置。矸石定期拉运外售给建筑材料生产单位回收进行综合利用。</w:t>
                  </w:r>
                </w:p>
                <w:p>
                  <w:pPr>
                    <w:pStyle w:val="58"/>
                    <w:jc w:val="both"/>
                    <w:rPr>
                      <w:kern w:val="0"/>
                      <w:szCs w:val="21"/>
                    </w:rPr>
                  </w:pPr>
                  <w:r>
                    <w:rPr>
                      <w:rFonts w:hint="eastAsia"/>
                      <w:kern w:val="0"/>
                      <w:szCs w:val="21"/>
                    </w:rPr>
                    <w:t>本项目采用成熟的选煤工艺设备，实现单元作业操作程序自动化，设有全过程自动控制手段。</w:t>
                  </w:r>
                </w:p>
                <w:p>
                  <w:pPr>
                    <w:adjustRightInd w:val="0"/>
                    <w:snapToGrid w:val="0"/>
                    <w:rPr>
                      <w:szCs w:val="21"/>
                    </w:rPr>
                  </w:pPr>
                  <w:r>
                    <w:rPr>
                      <w:rFonts w:hint="eastAsia"/>
                      <w:kern w:val="0"/>
                      <w:szCs w:val="21"/>
                    </w:rPr>
                    <w:t>本项目选煤水处理系统采用普通浓缩机，并添加絮凝剂；尾煤采用压滤机口回收，本项目额外设置1台备用事故浓缩机作为事故煤泥水应急处理设施，事故浓缩机与工作浓缩机相同型号，容积可满足事故状态下的废水临时储存；本项目实现洗水一级闭路循环，运行期洗选原煤水耗为0.071立方米/吨，吨入洗原煤补充水量&lt;0.10m</w:t>
                  </w:r>
                  <w:r>
                    <w:rPr>
                      <w:rFonts w:hint="eastAsia"/>
                      <w:kern w:val="0"/>
                      <w:szCs w:val="21"/>
                      <w:vertAlign w:val="superscript"/>
                    </w:rPr>
                    <w:t>3</w:t>
                  </w:r>
                  <w:r>
                    <w:rPr>
                      <w:rFonts w:hint="eastAsia"/>
                      <w:kern w:val="0"/>
                      <w:szCs w:val="21"/>
                    </w:rPr>
                    <w:t>，符合《清洁生产标准 煤炭采选业》中洗煤补水量先进值相关要求。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Align w:val="center"/>
                </w:tcPr>
                <w:p>
                  <w:pPr>
                    <w:adjustRightInd w:val="0"/>
                    <w:snapToGrid w:val="0"/>
                    <w:jc w:val="center"/>
                    <w:rPr>
                      <w:kern w:val="0"/>
                      <w:szCs w:val="21"/>
                    </w:rPr>
                  </w:pPr>
                  <w:r>
                    <w:rPr>
                      <w:rFonts w:hint="eastAsia"/>
                      <w:kern w:val="0"/>
                      <w:szCs w:val="21"/>
                    </w:rPr>
                    <w:t>《煤炭采选建设项目环境环境影响评价文件审批原则》</w:t>
                  </w:r>
                </w:p>
              </w:tc>
              <w:tc>
                <w:tcPr>
                  <w:tcW w:w="2853" w:type="pct"/>
                  <w:vAlign w:val="center"/>
                </w:tcPr>
                <w:p>
                  <w:pPr>
                    <w:rPr>
                      <w:kern w:val="0"/>
                      <w:szCs w:val="21"/>
                    </w:rPr>
                  </w:pPr>
                  <w:r>
                    <w:rPr>
                      <w:rFonts w:hint="eastAsia"/>
                      <w:kern w:val="0"/>
                      <w:szCs w:val="21"/>
                    </w:rPr>
                    <w:t>1、本原则适用于煤炭采选工程建设项目环境影响评价文件的审批。</w:t>
                  </w:r>
                </w:p>
                <w:p>
                  <w:pPr>
                    <w:rPr>
                      <w:kern w:val="0"/>
                      <w:szCs w:val="21"/>
                    </w:rPr>
                  </w:pPr>
                  <w:r>
                    <w:rPr>
                      <w:rFonts w:hint="eastAsia"/>
                      <w:kern w:val="0"/>
                      <w:szCs w:val="21"/>
                    </w:rPr>
                    <w:t>2、项目符合环境保护相关法律法规和政策要求，符合煤炭行业化解过剩产能相关要求，新建煤矿应同步建设配套的煤炭洗选设施。特殊和稀缺煤开发利用应符合《特殊和稀缺煤类开发利用管理暂行规定》要求。</w:t>
                  </w:r>
                </w:p>
                <w:p>
                  <w:pPr>
                    <w:rPr>
                      <w:kern w:val="0"/>
                      <w:szCs w:val="21"/>
                    </w:rPr>
                  </w:pPr>
                  <w:r>
                    <w:rPr>
                      <w:rFonts w:hint="eastAsia"/>
                      <w:kern w:val="0"/>
                      <w:szCs w:val="21"/>
                    </w:rPr>
                    <w:t>3、项目符合所在煤炭矿区总体规划、规划环评及其审查意见的相关要求，符合项目所在区域生态保护红线要求。</w:t>
                  </w:r>
                </w:p>
                <w:p>
                  <w:pPr>
                    <w:rPr>
                      <w:kern w:val="0"/>
                      <w:szCs w:val="21"/>
                    </w:rPr>
                  </w:pPr>
                  <w:r>
                    <w:rPr>
                      <w:rFonts w:hint="eastAsia"/>
                      <w:kern w:val="0"/>
                      <w:szCs w:val="21"/>
                    </w:rPr>
                    <w:t>井（矿）田开采范围、各类占地范围不得涉及自然保护区、风景名胜区、饮用水水源保护区等法律法规明令禁止采矿和占用的区域。</w:t>
                  </w:r>
                </w:p>
                <w:p>
                  <w:pPr>
                    <w:rPr>
                      <w:kern w:val="0"/>
                      <w:szCs w:val="21"/>
                    </w:rPr>
                  </w:pPr>
                  <w:r>
                    <w:rPr>
                      <w:rFonts w:hint="eastAsia"/>
                      <w:kern w:val="0"/>
                      <w:szCs w:val="21"/>
                    </w:rPr>
                    <w:t>4、新建、改项目应满足《清洁生产标准煤炭采选业》（HJ446）要求。主要污染物排放总量满足国家和地方相关要求。</w:t>
                  </w:r>
                </w:p>
                <w:p>
                  <w:pPr>
                    <w:rPr>
                      <w:kern w:val="0"/>
                      <w:szCs w:val="21"/>
                    </w:rPr>
                  </w:pPr>
                  <w:r>
                    <w:rPr>
                      <w:rFonts w:hint="eastAsia"/>
                      <w:kern w:val="0"/>
                      <w:szCs w:val="21"/>
                    </w:rPr>
                    <w:t>5、对井工开采项目的沉陷区及临时排矸场、露天开采项目的采掘场及排土场，应明确生态恢复目标，提出施工期、运行期、闭矿期合理可行的生态保护与恢复措施。对受煤炭开采影响的居民住宅、地面重要基础设施等环境保护目标，应提出相应的保护措施。</w:t>
                  </w:r>
                </w:p>
                <w:p>
                  <w:pPr>
                    <w:rPr>
                      <w:kern w:val="0"/>
                      <w:szCs w:val="21"/>
                    </w:rPr>
                  </w:pPr>
                  <w:r>
                    <w:rPr>
                      <w:rFonts w:hint="eastAsia"/>
                      <w:kern w:val="0"/>
                      <w:szCs w:val="21"/>
                    </w:rPr>
                    <w:t>6、煤炭开采可能对自然保护区、风景名胜区、饮用水水源保护区的重要环境敏感目标造成不利影响的，应提出禁止开采、限制开采、充填开采等保护措施；涉及其他敏感区域保护目标的，应明确提出设置禁采区、限采区、限高开采、充填开采、条带开采等措施。</w:t>
                  </w:r>
                </w:p>
                <w:p>
                  <w:pPr>
                    <w:rPr>
                      <w:kern w:val="0"/>
                      <w:szCs w:val="21"/>
                    </w:rPr>
                  </w:pPr>
                  <w:r>
                    <w:rPr>
                      <w:rFonts w:hint="eastAsia"/>
                      <w:kern w:val="0"/>
                      <w:szCs w:val="21"/>
                    </w:rPr>
                    <w:t>煤炭开采对具有供水意义的含水层、集中式与分散式供水水源的地下水资源可能造成影响的，应提出保水采煤等措施并制定长期供水替代方案；对地下水水质可能造成污染影响的应提出防渗等污染防治措施。</w:t>
                  </w:r>
                </w:p>
                <w:p>
                  <w:pPr>
                    <w:rPr>
                      <w:kern w:val="0"/>
                      <w:szCs w:val="21"/>
                    </w:rPr>
                  </w:pPr>
                  <w:r>
                    <w:rPr>
                      <w:rFonts w:hint="eastAsia"/>
                      <w:kern w:val="0"/>
                      <w:szCs w:val="21"/>
                    </w:rPr>
                    <w:t>7、项目应配套建设矿井水、生活污水、生产废水等污（废）水处理设施，处理后的污（废）水应最大限度进行综合利用，生活污水原则上不得外排。选煤厂煤泥水应实现闭路循环，不外排。暂无法全部利用确需外排的污（废）水，其污染物排放浓度应满足相关标准要求。</w:t>
                  </w:r>
                </w:p>
                <w:p>
                  <w:pPr>
                    <w:rPr>
                      <w:kern w:val="0"/>
                      <w:szCs w:val="21"/>
                    </w:rPr>
                  </w:pPr>
                  <w:r>
                    <w:rPr>
                      <w:rFonts w:hint="eastAsia"/>
                      <w:kern w:val="0"/>
                      <w:szCs w:val="21"/>
                    </w:rPr>
                    <w:t>8、煤矸石等固体废物应优先综合利用，明确煤矸石综合利用途径和处置方式，满足《煤矸石综合利用管理办法》相关要求。暂不具备综合利用条件的，排至临时矸石堆放场（库）储存，储存规模不超过3年储矸量，且必须有后续综合利用方案。临时矸石堆放场（库）选址、建设和运行应满足《一般工业固体废物贮存、处置场污染控制标准》（GB18599）要求。</w:t>
                  </w:r>
                </w:p>
                <w:p>
                  <w:pPr>
                    <w:rPr>
                      <w:kern w:val="0"/>
                      <w:szCs w:val="21"/>
                    </w:rPr>
                  </w:pPr>
                  <w:r>
                    <w:rPr>
                      <w:rFonts w:hint="eastAsia"/>
                      <w:kern w:val="0"/>
                      <w:szCs w:val="21"/>
                    </w:rPr>
                    <w:t>9、煤矿地面储、装、运及生产系统各产尘环节应采取有效抑尘措施。涉及环境敏感区或区域颗粒物超标地区的项目，应封闭储煤，厂界无组织排放满足相关标准要求。优先采用依托热源、水源热泵、气源热泵、清洁能源等供热形式，确需建设燃煤锅炉的，应符合《大气污染防治行动计划》等相关要求，采取高效烟气脱硫、脱硝和除尘措施，并安装烟气在线监测系统，污染物排放应满足相关排放标准要求。</w:t>
                  </w:r>
                </w:p>
                <w:p>
                  <w:pPr>
                    <w:rPr>
                      <w:kern w:val="0"/>
                      <w:szCs w:val="21"/>
                    </w:rPr>
                  </w:pPr>
                  <w:r>
                    <w:rPr>
                      <w:rFonts w:hint="eastAsia"/>
                      <w:kern w:val="0"/>
                      <w:szCs w:val="21"/>
                    </w:rPr>
                    <w:t>高浓度瓦斯禁止排放，应配套建设瓦斯利用设施或提出瓦斯综合利用方案；积极开展低浓度瓦斯综合利用工作，鼓励风排瓦斯综合利用。瓦斯排放应满足《煤层气（煤矿瓦斯）排放标准（暂行）》要求。</w:t>
                  </w:r>
                </w:p>
                <w:p>
                  <w:pPr>
                    <w:rPr>
                      <w:kern w:val="0"/>
                      <w:szCs w:val="21"/>
                    </w:rPr>
                  </w:pPr>
                  <w:r>
                    <w:rPr>
                      <w:rFonts w:hint="eastAsia"/>
                      <w:kern w:val="0"/>
                      <w:szCs w:val="21"/>
                    </w:rPr>
                    <w:t>10、选择低噪声设备、优化场地布局并采取隔声、消声、减振等有效噪声控制措施，噪声排放应满足《工业企业厂界环境噪声排放标准》（GB12348）要求。</w:t>
                  </w:r>
                </w:p>
                <w:p>
                  <w:pPr>
                    <w:rPr>
                      <w:kern w:val="0"/>
                      <w:szCs w:val="21"/>
                    </w:rPr>
                  </w:pPr>
                  <w:r>
                    <w:rPr>
                      <w:rFonts w:hint="eastAsia"/>
                      <w:kern w:val="0"/>
                      <w:szCs w:val="21"/>
                    </w:rPr>
                    <w:t>11、改、扩建（兼并重组）项目应全面梳理现有工程存在的环保问题，提出“以新带老”整改方案。</w:t>
                  </w:r>
                </w:p>
                <w:p>
                  <w:pPr>
                    <w:rPr>
                      <w:kern w:val="0"/>
                      <w:szCs w:val="21"/>
                    </w:rPr>
                  </w:pPr>
                  <w:r>
                    <w:rPr>
                      <w:rFonts w:hint="eastAsia"/>
                      <w:kern w:val="0"/>
                      <w:szCs w:val="21"/>
                    </w:rPr>
                    <w:t>12、制定了生态、地下水、地表水等环境要素的跟踪监测计划，明确监测网点的布设、监测因子、监测频次和信息公开等要求，提出了采煤沉陷区长期地表岩移观测要求，提出了有效的环境风险防范措施及突发环境事件应急预案编制要求，纳入区域突发环境事件应急联动机制。</w:t>
                  </w:r>
                </w:p>
                <w:p>
                  <w:pPr>
                    <w:rPr>
                      <w:kern w:val="0"/>
                      <w:szCs w:val="21"/>
                    </w:rPr>
                  </w:pPr>
                  <w:r>
                    <w:rPr>
                      <w:rFonts w:hint="eastAsia"/>
                      <w:kern w:val="0"/>
                      <w:szCs w:val="21"/>
                    </w:rPr>
                    <w:t>13、涉及放射性污染影响的煤炭采选项目，参照《矿产资源开发利用辐射环境监督管理名录》（第一批）中石煤行业相关要求，原煤、产品煤、矸石或其他残留物铀（钍）系单个核素含量超过1贝可/克（1Bq/g）的项目，应开展辐射环境污染评价。开采高砷、高铝煤矿等项目，提出了产品煤去向及环境管理要求。</w:t>
                  </w:r>
                </w:p>
                <w:p>
                  <w:pPr>
                    <w:rPr>
                      <w:kern w:val="0"/>
                      <w:szCs w:val="21"/>
                    </w:rPr>
                  </w:pPr>
                  <w:r>
                    <w:rPr>
                      <w:rFonts w:hint="eastAsia"/>
                      <w:kern w:val="0"/>
                      <w:szCs w:val="21"/>
                    </w:rPr>
                    <w:t>14、按相关规定开展了信息公开和公众参与。</w:t>
                  </w:r>
                </w:p>
                <w:p>
                  <w:pPr>
                    <w:rPr>
                      <w:kern w:val="0"/>
                      <w:szCs w:val="21"/>
                    </w:rPr>
                  </w:pPr>
                  <w:r>
                    <w:rPr>
                      <w:rFonts w:hint="eastAsia"/>
                      <w:kern w:val="0"/>
                      <w:szCs w:val="21"/>
                    </w:rPr>
                    <w:t>15、环境影响评价文件编制规范，符合资质管理规定和环评技术标准要求。</w:t>
                  </w:r>
                </w:p>
              </w:tc>
              <w:tc>
                <w:tcPr>
                  <w:tcW w:w="1490" w:type="pct"/>
                  <w:vAlign w:val="center"/>
                </w:tcPr>
                <w:p>
                  <w:pPr>
                    <w:adjustRightInd w:val="0"/>
                    <w:snapToGrid w:val="0"/>
                    <w:rPr>
                      <w:kern w:val="0"/>
                      <w:szCs w:val="21"/>
                    </w:rPr>
                  </w:pPr>
                  <w:r>
                    <w:rPr>
                      <w:rFonts w:hint="eastAsia"/>
                      <w:kern w:val="0"/>
                      <w:szCs w:val="21"/>
                    </w:rPr>
                    <w:t>1、本项目属于煤炭采选工程建设项目。</w:t>
                  </w:r>
                </w:p>
                <w:p>
                  <w:pPr>
                    <w:adjustRightInd w:val="0"/>
                    <w:snapToGrid w:val="0"/>
                    <w:rPr>
                      <w:kern w:val="0"/>
                      <w:szCs w:val="21"/>
                    </w:rPr>
                  </w:pPr>
                  <w:r>
                    <w:rPr>
                      <w:rFonts w:hint="eastAsia"/>
                      <w:kern w:val="0"/>
                      <w:szCs w:val="21"/>
                    </w:rPr>
                    <w:t>2、本项目不属于特殊和稀缺煤开发利用类项目，本项目的建设符合环境保护相关法律法规和政策要求。</w:t>
                  </w:r>
                </w:p>
                <w:p>
                  <w:pPr>
                    <w:adjustRightInd w:val="0"/>
                    <w:snapToGrid w:val="0"/>
                    <w:rPr>
                      <w:kern w:val="0"/>
                      <w:szCs w:val="21"/>
                    </w:rPr>
                  </w:pPr>
                  <w:r>
                    <w:rPr>
                      <w:rFonts w:hint="eastAsia"/>
                      <w:kern w:val="0"/>
                      <w:szCs w:val="21"/>
                    </w:rPr>
                    <w:t>3、本项目选址位置无煤炭矿区总体规划、规划环评及其审查意见，本项目符合生态保护红线要求，选址位置不涉及自然保护区、风景名胜区、饮用水水源保护区等法律法规明令禁止采矿和占用的区域。</w:t>
                  </w:r>
                </w:p>
                <w:p>
                  <w:pPr>
                    <w:adjustRightInd w:val="0"/>
                    <w:snapToGrid w:val="0"/>
                    <w:rPr>
                      <w:kern w:val="0"/>
                      <w:szCs w:val="21"/>
                    </w:rPr>
                  </w:pPr>
                  <w:r>
                    <w:rPr>
                      <w:rFonts w:hint="eastAsia"/>
                      <w:kern w:val="0"/>
                      <w:szCs w:val="21"/>
                    </w:rPr>
                    <w:t>4本项目为新建项目，满足《清洁生产标准煤炭采选业》（HJ446），主要污染物排放总量满足国家和地方相关要求。</w:t>
                  </w:r>
                </w:p>
                <w:p>
                  <w:pPr>
                    <w:adjustRightInd w:val="0"/>
                    <w:snapToGrid w:val="0"/>
                    <w:rPr>
                      <w:kern w:val="0"/>
                      <w:szCs w:val="21"/>
                    </w:rPr>
                  </w:pPr>
                  <w:r>
                    <w:rPr>
                      <w:rFonts w:hint="eastAsia"/>
                      <w:kern w:val="0"/>
                      <w:szCs w:val="21"/>
                    </w:rPr>
                    <w:t>5、本项目主要进行原煤洗选，不涉及煤炭开采活动。</w:t>
                  </w:r>
                </w:p>
                <w:p>
                  <w:pPr>
                    <w:adjustRightInd w:val="0"/>
                    <w:snapToGrid w:val="0"/>
                    <w:rPr>
                      <w:kern w:val="0"/>
                      <w:szCs w:val="21"/>
                    </w:rPr>
                  </w:pPr>
                  <w:r>
                    <w:rPr>
                      <w:rFonts w:hint="eastAsia"/>
                      <w:kern w:val="0"/>
                      <w:szCs w:val="21"/>
                    </w:rPr>
                    <w:t>6、本项目主要进行原煤洗选，不涉及煤炭开采活动。</w:t>
                  </w:r>
                </w:p>
                <w:p>
                  <w:pPr>
                    <w:adjustRightInd w:val="0"/>
                    <w:snapToGrid w:val="0"/>
                    <w:rPr>
                      <w:kern w:val="0"/>
                      <w:szCs w:val="21"/>
                    </w:rPr>
                  </w:pPr>
                  <w:r>
                    <w:rPr>
                      <w:rFonts w:hint="eastAsia"/>
                      <w:kern w:val="0"/>
                      <w:szCs w:val="21"/>
                    </w:rPr>
                    <w:t>7、本项目生活污水排入厂区防渗旱厕，定期清掏，外运堆肥，不外排；洗煤废水经浓缩、压滤后，全部回用于洗煤工序，实现闭路循环，不外排，实际上水的消耗量只是产品带走的水与少量蒸发损耗的水。</w:t>
                  </w:r>
                </w:p>
                <w:p>
                  <w:pPr>
                    <w:adjustRightInd w:val="0"/>
                    <w:snapToGrid w:val="0"/>
                    <w:rPr>
                      <w:kern w:val="0"/>
                      <w:szCs w:val="21"/>
                    </w:rPr>
                  </w:pPr>
                  <w:r>
                    <w:rPr>
                      <w:rFonts w:hint="eastAsia"/>
                      <w:kern w:val="0"/>
                      <w:szCs w:val="21"/>
                    </w:rPr>
                    <w:t>8、煤矸石在厂区全密闭矸石堆放库暂存，定期拉运外售给建筑材料生产单位回收进行综合利用，不长期储存，本项目建成后根据《煤矸石综合利用管理办法》及时制定并落实后续煤矸石综合利用方案。符合《煤矸石综合利用管理办法》相关要求，临时矸石堆放库选址、建设和运行满足《一般工业固体废物贮存、处置场污染控制标准》（GB18599）要求。</w:t>
                  </w:r>
                </w:p>
                <w:p>
                  <w:pPr>
                    <w:adjustRightInd w:val="0"/>
                    <w:snapToGrid w:val="0"/>
                    <w:rPr>
                      <w:kern w:val="0"/>
                      <w:szCs w:val="21"/>
                    </w:rPr>
                  </w:pPr>
                  <w:r>
                    <w:rPr>
                      <w:rFonts w:hint="eastAsia"/>
                      <w:kern w:val="0"/>
                      <w:szCs w:val="21"/>
                    </w:rPr>
                    <w:t>9、本项目主要进行原煤洗选，不涉及煤炭开采活动，通过采取场地硬化、洒水喷淋等措施，厂界无组织排放满足相关标准要求。本项目无需建设燃煤锅炉。本项目无高浓度瓦斯排放途径。</w:t>
                  </w:r>
                </w:p>
                <w:p>
                  <w:pPr>
                    <w:adjustRightInd w:val="0"/>
                    <w:snapToGrid w:val="0"/>
                    <w:rPr>
                      <w:kern w:val="0"/>
                      <w:szCs w:val="21"/>
                    </w:rPr>
                  </w:pPr>
                  <w:r>
                    <w:rPr>
                      <w:rFonts w:hint="eastAsia"/>
                      <w:kern w:val="0"/>
                      <w:szCs w:val="21"/>
                    </w:rPr>
                    <w:t>10、本项目选用低噪声设备，设备均安置于车间内，建筑采取隔声、降噪措施，振动较大的设备采取独立基础，设置减振器，减少噪声对外环境的影响。严格落实环保措施后，本项目厂界噪声满足《工业企业厂界环境噪声排放标准》（GB12348-2008）表1中2类标准要求。</w:t>
                  </w:r>
                </w:p>
                <w:p>
                  <w:pPr>
                    <w:adjustRightInd w:val="0"/>
                    <w:snapToGrid w:val="0"/>
                    <w:rPr>
                      <w:kern w:val="0"/>
                      <w:szCs w:val="21"/>
                    </w:rPr>
                  </w:pPr>
                  <w:r>
                    <w:rPr>
                      <w:rFonts w:hint="eastAsia"/>
                      <w:kern w:val="0"/>
                      <w:szCs w:val="21"/>
                    </w:rPr>
                    <w:t>11、本项目为新建项目。</w:t>
                  </w:r>
                </w:p>
                <w:p>
                  <w:pPr>
                    <w:adjustRightInd w:val="0"/>
                    <w:snapToGrid w:val="0"/>
                    <w:rPr>
                      <w:kern w:val="0"/>
                      <w:szCs w:val="21"/>
                    </w:rPr>
                  </w:pPr>
                  <w:r>
                    <w:rPr>
                      <w:rFonts w:hint="eastAsia"/>
                      <w:kern w:val="0"/>
                      <w:szCs w:val="21"/>
                    </w:rPr>
                    <w:t>12、本项目制定了相关环境要素的跟踪监测计划，提出了环境风险防范措施及突发环境事件应急预案编制要求。</w:t>
                  </w:r>
                </w:p>
                <w:p>
                  <w:pPr>
                    <w:adjustRightInd w:val="0"/>
                    <w:snapToGrid w:val="0"/>
                    <w:rPr>
                      <w:kern w:val="0"/>
                      <w:szCs w:val="21"/>
                    </w:rPr>
                  </w:pPr>
                  <w:r>
                    <w:rPr>
                      <w:rFonts w:hint="eastAsia"/>
                      <w:kern w:val="0"/>
                      <w:szCs w:val="21"/>
                    </w:rPr>
                    <w:t>13、根据附件6原煤煤质样品监测报告，煤样中</w:t>
                  </w:r>
                  <w:r>
                    <w:rPr>
                      <w:rFonts w:hint="eastAsia"/>
                      <w:kern w:val="0"/>
                      <w:szCs w:val="21"/>
                      <w:vertAlign w:val="superscript"/>
                    </w:rPr>
                    <w:t>238</w:t>
                  </w:r>
                  <w:r>
                    <w:rPr>
                      <w:rFonts w:hint="eastAsia"/>
                      <w:kern w:val="0"/>
                      <w:szCs w:val="21"/>
                    </w:rPr>
                    <w:t>U为0.026Bq/g，</w:t>
                  </w:r>
                  <w:r>
                    <w:rPr>
                      <w:rFonts w:hint="eastAsia"/>
                      <w:kern w:val="0"/>
                      <w:szCs w:val="21"/>
                      <w:vertAlign w:val="superscript"/>
                    </w:rPr>
                    <w:t>232</w:t>
                  </w:r>
                  <w:r>
                    <w:rPr>
                      <w:rFonts w:hint="eastAsia"/>
                      <w:kern w:val="0"/>
                      <w:szCs w:val="21"/>
                    </w:rPr>
                    <w:t>Th为0.036Bq/g。检测结果均小于1贝可/克（1Bq/g），无需编制辐射环境影响评价专篇。</w:t>
                  </w:r>
                </w:p>
                <w:p>
                  <w:pPr>
                    <w:adjustRightInd w:val="0"/>
                    <w:snapToGrid w:val="0"/>
                    <w:rPr>
                      <w:kern w:val="0"/>
                      <w:szCs w:val="21"/>
                    </w:rPr>
                  </w:pPr>
                  <w:r>
                    <w:rPr>
                      <w:rFonts w:hint="eastAsia"/>
                      <w:kern w:val="0"/>
                      <w:szCs w:val="21"/>
                    </w:rPr>
                    <w:t>14、本项目按相关规定开展了信息公开。</w:t>
                  </w:r>
                </w:p>
                <w:p>
                  <w:pPr>
                    <w:adjustRightInd w:val="0"/>
                    <w:snapToGrid w:val="0"/>
                    <w:rPr>
                      <w:kern w:val="0"/>
                      <w:szCs w:val="21"/>
                    </w:rPr>
                  </w:pPr>
                  <w:r>
                    <w:rPr>
                      <w:rFonts w:hint="eastAsia"/>
                      <w:kern w:val="0"/>
                      <w:szCs w:val="21"/>
                    </w:rPr>
                    <w:t>15、本项目环境影响评价文件编制规范，符合资质管理规定和环评技术标准要求。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Align w:val="center"/>
                </w:tcPr>
                <w:p>
                  <w:pPr>
                    <w:adjustRightInd w:val="0"/>
                    <w:snapToGrid w:val="0"/>
                    <w:jc w:val="center"/>
                    <w:rPr>
                      <w:kern w:val="0"/>
                      <w:szCs w:val="21"/>
                    </w:rPr>
                  </w:pPr>
                  <w:r>
                    <w:rPr>
                      <w:rFonts w:hint="eastAsia"/>
                      <w:kern w:val="0"/>
                      <w:szCs w:val="21"/>
                    </w:rPr>
                    <w:t>《煤炭产业政策》</w:t>
                  </w:r>
                </w:p>
              </w:tc>
              <w:tc>
                <w:tcPr>
                  <w:tcW w:w="2853" w:type="pct"/>
                  <w:vAlign w:val="center"/>
                </w:tcPr>
                <w:p>
                  <w:pPr>
                    <w:rPr>
                      <w:kern w:val="0"/>
                      <w:szCs w:val="21"/>
                    </w:rPr>
                  </w:pPr>
                  <w:r>
                    <w:rPr>
                      <w:rFonts w:hint="eastAsia"/>
                      <w:kern w:val="0"/>
                      <w:szCs w:val="21"/>
                    </w:rPr>
                    <w:t>根据《煤炭产业政策》（2013年修订）第十三条“鼓励在中小型煤矿集中矿区建设群矿洗选厂，提高原煤洗选比例和洗选效率”和《国务院关于促进煤炭工业健康发展的若干意见》（国发（</w:t>
                  </w:r>
                  <w:r>
                    <w:rPr>
                      <w:kern w:val="0"/>
                      <w:szCs w:val="21"/>
                    </w:rPr>
                    <w:t>2005</w:t>
                  </w:r>
                  <w:r>
                    <w:rPr>
                      <w:rFonts w:hint="eastAsia"/>
                      <w:kern w:val="0"/>
                      <w:szCs w:val="21"/>
                    </w:rPr>
                    <w:t>）18号）“推进洁净煤技术产业化发展”。发展改革委要制定规划，完善政策，组织建设示范工程，并给予一定资金支持，推动洁净煤技术和产业化发展。大力发展洗煤、配煤和型煤技术，提高煤炭洗选加工程度。</w:t>
                  </w:r>
                </w:p>
              </w:tc>
              <w:tc>
                <w:tcPr>
                  <w:tcW w:w="1490" w:type="pct"/>
                  <w:vAlign w:val="center"/>
                </w:tcPr>
                <w:p>
                  <w:pPr>
                    <w:adjustRightInd w:val="0"/>
                    <w:snapToGrid w:val="0"/>
                    <w:rPr>
                      <w:kern w:val="0"/>
                      <w:szCs w:val="21"/>
                    </w:rPr>
                  </w:pPr>
                  <w:r>
                    <w:rPr>
                      <w:rFonts w:hint="eastAsia"/>
                      <w:kern w:val="0"/>
                      <w:szCs w:val="21"/>
                    </w:rPr>
                    <w:t>本项目属于洗煤厂建设项目，参考《国民经济行业分类》（GB-T-4754-2017），本项目属于煤炭开采和洗选业，属于《煤炭产业政策》中鼓励发展项目。建设符合《煤炭产业政策》（2013年修订）要求。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Align w:val="center"/>
                </w:tcPr>
                <w:p>
                  <w:pPr>
                    <w:adjustRightInd w:val="0"/>
                    <w:snapToGrid w:val="0"/>
                    <w:jc w:val="center"/>
                    <w:rPr>
                      <w:kern w:val="0"/>
                      <w:szCs w:val="21"/>
                    </w:rPr>
                  </w:pPr>
                  <w:r>
                    <w:rPr>
                      <w:rFonts w:hint="eastAsia"/>
                      <w:kern w:val="0"/>
                      <w:szCs w:val="21"/>
                    </w:rPr>
                    <w:t>《煤炭工业节能减排工作意见》</w:t>
                  </w:r>
                </w:p>
              </w:tc>
              <w:tc>
                <w:tcPr>
                  <w:tcW w:w="2853" w:type="pct"/>
                  <w:vAlign w:val="center"/>
                </w:tcPr>
                <w:p>
                  <w:pPr>
                    <w:rPr>
                      <w:kern w:val="0"/>
                      <w:szCs w:val="21"/>
                    </w:rPr>
                  </w:pPr>
                  <w:r>
                    <w:rPr>
                      <w:rFonts w:hint="eastAsia"/>
                      <w:kern w:val="0"/>
                      <w:szCs w:val="21"/>
                    </w:rPr>
                    <w:t>根据国家发展改革委和国家环保总局关于印发煤炭工业节能减排工作意见的通知（发改能源（2007）1456号）：第二十三条煤矿应就近配套建设选煤厂或集中选煤厂，采用大中型高效节能设备，减少物流中转环节。新建选煤厂规模原则上不小于30万吨/年。加强对现有选煤厂技术改造，淘汰落后工艺，减少电耗、水耗和介质消耗。积极发展动力煤入洗，高硫、高灰动力煤必须全部入洗。灰分大于25%的商品煤，应就近使用，尽量减少长途运输。第二十五条选煤厂补充用水必须首先采用处理后的矿井水或中水。洗煤用水应净化处理后循环复用，大中型选煤厂必须实现洗水一级闭路循环，洗选原煤水耗应控制在0.15立方米/吨以内。</w:t>
                  </w:r>
                </w:p>
              </w:tc>
              <w:tc>
                <w:tcPr>
                  <w:tcW w:w="1490" w:type="pct"/>
                  <w:vAlign w:val="center"/>
                </w:tcPr>
                <w:p>
                  <w:pPr>
                    <w:adjustRightInd w:val="0"/>
                    <w:snapToGrid w:val="0"/>
                    <w:rPr>
                      <w:kern w:val="0"/>
                      <w:szCs w:val="21"/>
                    </w:rPr>
                  </w:pPr>
                  <w:r>
                    <w:rPr>
                      <w:rFonts w:hint="eastAsia"/>
                      <w:kern w:val="0"/>
                      <w:szCs w:val="21"/>
                    </w:rPr>
                    <w:t>本项目为洗煤厂建设项目，建设完成后年洗选原煤30万吨，本项目所用设备及产品无《产业结构调整指导目录（2024年本）》中限制类中生产装置设备、淘汰类中落后生产工艺装备、落后产品；洗煤废水采用闭路循环水洗煤工艺，且实现洗水一级闭路循环，净化处理后循环复用不外排，本项目实现洗水一级闭路循环，运行期洗选原煤水耗为0.071立方米/吨，在0.15立方米/吨以内，本项目的基本建设符合《煤炭工业节能减排工作意见》相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Align w:val="center"/>
                </w:tcPr>
                <w:p>
                  <w:pPr>
                    <w:adjustRightInd w:val="0"/>
                    <w:snapToGrid w:val="0"/>
                    <w:jc w:val="center"/>
                    <w:rPr>
                      <w:kern w:val="0"/>
                      <w:szCs w:val="21"/>
                    </w:rPr>
                  </w:pPr>
                  <w:r>
                    <w:rPr>
                      <w:rFonts w:hint="eastAsia"/>
                      <w:kern w:val="0"/>
                      <w:szCs w:val="21"/>
                    </w:rPr>
                    <w:t>《煤炭洗选工程设计规范》（</w:t>
                  </w:r>
                  <w:r>
                    <w:rPr>
                      <w:kern w:val="0"/>
                      <w:szCs w:val="21"/>
                    </w:rPr>
                    <w:t>GB50359-2016</w:t>
                  </w:r>
                  <w:r>
                    <w:rPr>
                      <w:rFonts w:hint="eastAsia"/>
                      <w:kern w:val="0"/>
                      <w:szCs w:val="21"/>
                    </w:rPr>
                    <w:t>）</w:t>
                  </w:r>
                </w:p>
              </w:tc>
              <w:tc>
                <w:tcPr>
                  <w:tcW w:w="2853" w:type="pct"/>
                  <w:vAlign w:val="center"/>
                </w:tcPr>
                <w:p>
                  <w:pPr>
                    <w:adjustRightInd w:val="0"/>
                    <w:snapToGrid w:val="0"/>
                    <w:rPr>
                      <w:kern w:val="0"/>
                      <w:szCs w:val="21"/>
                    </w:rPr>
                  </w:pPr>
                  <w:r>
                    <w:rPr>
                      <w:rFonts w:hint="eastAsia"/>
                      <w:kern w:val="0"/>
                      <w:szCs w:val="21"/>
                    </w:rPr>
                    <w:t>3.2.4选煤厂、储配煤场应减少露天储存原煤；在人口集中的城镇附近的选煤厂、储配煤场，应采用密闭方式储存原煤；其他选煤厂、储配煤场在露天储有原煤时，应采取防风抑尘措施。</w:t>
                  </w:r>
                </w:p>
                <w:p>
                  <w:pPr>
                    <w:adjustRightInd w:val="0"/>
                    <w:snapToGrid w:val="0"/>
                    <w:rPr>
                      <w:kern w:val="0"/>
                      <w:szCs w:val="21"/>
                    </w:rPr>
                  </w:pPr>
                  <w:r>
                    <w:rPr>
                      <w:rFonts w:hint="eastAsia"/>
                      <w:kern w:val="0"/>
                      <w:szCs w:val="21"/>
                    </w:rPr>
                    <w:t>6.2.5干燥后的产品运输及转载处必须设置密闭罩，并应采取相应的除尘措施。</w:t>
                  </w:r>
                </w:p>
                <w:p>
                  <w:pPr>
                    <w:adjustRightInd w:val="0"/>
                    <w:snapToGrid w:val="0"/>
                    <w:rPr>
                      <w:kern w:val="0"/>
                      <w:szCs w:val="21"/>
                    </w:rPr>
                  </w:pPr>
                  <w:r>
                    <w:rPr>
                      <w:rFonts w:hint="eastAsia"/>
                      <w:kern w:val="0"/>
                      <w:szCs w:val="21"/>
                    </w:rPr>
                    <w:t>6.2.6干燥车间按干燥设备的特性，必须采取相应的防火、防爆等安全措施。</w:t>
                  </w:r>
                </w:p>
                <w:p>
                  <w:pPr>
                    <w:adjustRightInd w:val="0"/>
                    <w:snapToGrid w:val="0"/>
                    <w:rPr>
                      <w:kern w:val="0"/>
                      <w:szCs w:val="21"/>
                    </w:rPr>
                  </w:pPr>
                  <w:r>
                    <w:rPr>
                      <w:rFonts w:hint="eastAsia"/>
                      <w:kern w:val="0"/>
                      <w:szCs w:val="21"/>
                    </w:rPr>
                    <w:t>7.1.8露天储煤场应在其周围进行雨水收集，并应经沉淀处理回用或外排。</w:t>
                  </w:r>
                </w:p>
                <w:p>
                  <w:pPr>
                    <w:adjustRightInd w:val="0"/>
                    <w:snapToGrid w:val="0"/>
                    <w:rPr>
                      <w:kern w:val="0"/>
                      <w:szCs w:val="21"/>
                    </w:rPr>
                  </w:pPr>
                  <w:r>
                    <w:rPr>
                      <w:rFonts w:hint="eastAsia"/>
                      <w:kern w:val="0"/>
                      <w:szCs w:val="21"/>
                    </w:rPr>
                    <w:t>7.3.1洗煤厂必须设置事故煤泥水处理环节。</w:t>
                  </w:r>
                </w:p>
                <w:p>
                  <w:pPr>
                    <w:adjustRightInd w:val="0"/>
                    <w:snapToGrid w:val="0"/>
                    <w:rPr>
                      <w:kern w:val="0"/>
                      <w:szCs w:val="21"/>
                    </w:rPr>
                  </w:pPr>
                  <w:r>
                    <w:rPr>
                      <w:rFonts w:hint="eastAsia"/>
                      <w:kern w:val="0"/>
                      <w:szCs w:val="21"/>
                    </w:rPr>
                    <w:t>7.3.2事故煤泥水处理设施的选择应符合下列规定：</w:t>
                  </w:r>
                </w:p>
                <w:p>
                  <w:pPr>
                    <w:adjustRightInd w:val="0"/>
                    <w:snapToGrid w:val="0"/>
                    <w:ind w:firstLine="420" w:firstLineChars="200"/>
                    <w:rPr>
                      <w:kern w:val="0"/>
                      <w:szCs w:val="21"/>
                    </w:rPr>
                  </w:pPr>
                  <w:r>
                    <w:rPr>
                      <w:rFonts w:hint="eastAsia"/>
                      <w:kern w:val="0"/>
                      <w:szCs w:val="21"/>
                    </w:rPr>
                    <w:t>宜选用事故浓缩机，也可选用事故煤泥沉淀池。</w:t>
                  </w:r>
                </w:p>
                <w:p>
                  <w:pPr>
                    <w:adjustRightInd w:val="0"/>
                    <w:snapToGrid w:val="0"/>
                    <w:ind w:firstLine="420" w:firstLineChars="200"/>
                    <w:rPr>
                      <w:kern w:val="0"/>
                      <w:szCs w:val="21"/>
                    </w:rPr>
                  </w:pPr>
                  <w:r>
                    <w:rPr>
                      <w:rFonts w:hint="eastAsia"/>
                      <w:kern w:val="0"/>
                      <w:szCs w:val="21"/>
                    </w:rPr>
                    <w:t>事故浓缩机应与最大一台工作浓缩机同型号，并可与工作浓缩机互为备用。条件受限时，也可采用无浓缩机的事故浓缩池。</w:t>
                  </w:r>
                </w:p>
                <w:p>
                  <w:pPr>
                    <w:adjustRightInd w:val="0"/>
                    <w:snapToGrid w:val="0"/>
                    <w:ind w:firstLine="420" w:firstLineChars="200"/>
                    <w:rPr>
                      <w:kern w:val="0"/>
                      <w:szCs w:val="21"/>
                    </w:rPr>
                  </w:pPr>
                  <w:r>
                    <w:rPr>
                      <w:rFonts w:hint="eastAsia"/>
                      <w:kern w:val="0"/>
                      <w:szCs w:val="21"/>
                    </w:rPr>
                    <w:t>选用事故煤泥水池时，其有效容积为厂内内最大一台设备有效容积的1.2倍一1.5倍。事故煤泥水池可不设澄清水池。</w:t>
                  </w:r>
                </w:p>
                <w:p>
                  <w:pPr>
                    <w:rPr>
                      <w:kern w:val="0"/>
                      <w:szCs w:val="21"/>
                    </w:rPr>
                  </w:pPr>
                  <w:r>
                    <w:rPr>
                      <w:rFonts w:hint="eastAsia"/>
                      <w:kern w:val="0"/>
                      <w:szCs w:val="21"/>
                    </w:rPr>
                    <w:t>事故煤泥水在事故处理完毕后，应能及时返回到煤泥水系统中。</w:t>
                  </w:r>
                </w:p>
              </w:tc>
              <w:tc>
                <w:tcPr>
                  <w:tcW w:w="1490" w:type="pct"/>
                  <w:vAlign w:val="center"/>
                </w:tcPr>
                <w:p>
                  <w:pPr>
                    <w:pStyle w:val="58"/>
                    <w:jc w:val="both"/>
                    <w:rPr>
                      <w:kern w:val="0"/>
                      <w:szCs w:val="21"/>
                    </w:rPr>
                  </w:pPr>
                  <w:r>
                    <w:rPr>
                      <w:rFonts w:hint="eastAsia"/>
                      <w:kern w:val="0"/>
                      <w:szCs w:val="21"/>
                    </w:rPr>
                    <w:t>本项目设置有原煤堆放库，原煤进厂后暂存于原煤堆放库中，不涉及露天堆存；本项目选址位置不涉及人口集中的城镇，且不涉及露天堆存原煤。</w:t>
                  </w:r>
                </w:p>
                <w:p>
                  <w:pPr>
                    <w:pStyle w:val="58"/>
                    <w:jc w:val="both"/>
                    <w:rPr>
                      <w:kern w:val="0"/>
                      <w:szCs w:val="21"/>
                    </w:rPr>
                  </w:pPr>
                  <w:r>
                    <w:rPr>
                      <w:rFonts w:hint="eastAsia"/>
                      <w:kern w:val="0"/>
                      <w:szCs w:val="21"/>
                    </w:rPr>
                    <w:t>本项目煤场至生产车间传送装置设置密闭廊道并采取定期洒水降尘措施。</w:t>
                  </w:r>
                </w:p>
                <w:p>
                  <w:pPr>
                    <w:pStyle w:val="58"/>
                    <w:jc w:val="both"/>
                    <w:rPr>
                      <w:kern w:val="0"/>
                      <w:szCs w:val="21"/>
                    </w:rPr>
                  </w:pPr>
                  <w:r>
                    <w:rPr>
                      <w:rFonts w:hint="eastAsia"/>
                      <w:kern w:val="0"/>
                      <w:szCs w:val="21"/>
                    </w:rPr>
                    <w:t>本项目车间采取了相应的防火、防爆等安全措施。</w:t>
                  </w:r>
                </w:p>
                <w:p>
                  <w:pPr>
                    <w:pStyle w:val="58"/>
                    <w:jc w:val="both"/>
                    <w:rPr>
                      <w:kern w:val="0"/>
                      <w:szCs w:val="21"/>
                    </w:rPr>
                  </w:pPr>
                  <w:r>
                    <w:rPr>
                      <w:rFonts w:hint="eastAsia"/>
                      <w:kern w:val="0"/>
                      <w:szCs w:val="21"/>
                    </w:rPr>
                    <w:t>在厂区四周设置雨水收集管网汇入初期雨水收集池用于厂区洒水抑尘。</w:t>
                  </w:r>
                </w:p>
                <w:p>
                  <w:pPr>
                    <w:pStyle w:val="58"/>
                    <w:jc w:val="both"/>
                    <w:rPr>
                      <w:kern w:val="0"/>
                      <w:szCs w:val="21"/>
                    </w:rPr>
                  </w:pPr>
                  <w:r>
                    <w:rPr>
                      <w:rFonts w:hint="eastAsia"/>
                      <w:kern w:val="0"/>
                      <w:szCs w:val="21"/>
                    </w:rPr>
                    <w:t>煤泥水经压滤处理后回用于生产。</w:t>
                  </w:r>
                </w:p>
                <w:p>
                  <w:pPr>
                    <w:adjustRightInd w:val="0"/>
                    <w:snapToGrid w:val="0"/>
                    <w:rPr>
                      <w:kern w:val="0"/>
                      <w:szCs w:val="21"/>
                    </w:rPr>
                  </w:pPr>
                  <w:r>
                    <w:rPr>
                      <w:rFonts w:hint="eastAsia"/>
                      <w:kern w:val="0"/>
                      <w:szCs w:val="21"/>
                    </w:rPr>
                    <w:t>本项目额外设置1台备用事故浓缩机作为事故煤泥水应急处理设施，事故浓缩机与工作浓缩机相同型号，容积可满足事故状态下的废水临时储存，满足《煤炭洗选工程设计规范》（GB50359-2016）要求。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Align w:val="center"/>
                </w:tcPr>
                <w:p>
                  <w:pPr>
                    <w:adjustRightInd w:val="0"/>
                    <w:snapToGrid w:val="0"/>
                    <w:jc w:val="center"/>
                    <w:rPr>
                      <w:kern w:val="0"/>
                      <w:szCs w:val="21"/>
                    </w:rPr>
                  </w:pPr>
                  <w:r>
                    <w:rPr>
                      <w:rFonts w:hint="eastAsia"/>
                      <w:kern w:val="0"/>
                      <w:szCs w:val="21"/>
                    </w:rPr>
                    <w:t>《关于进一步加强煤炭资源开发环境影响评价管理的通知》环环评（2020）63号）</w:t>
                  </w:r>
                </w:p>
              </w:tc>
              <w:tc>
                <w:tcPr>
                  <w:tcW w:w="2853" w:type="pct"/>
                  <w:vAlign w:val="center"/>
                </w:tcPr>
                <w:p>
                  <w:pPr>
                    <w:rPr>
                      <w:kern w:val="0"/>
                      <w:szCs w:val="21"/>
                    </w:rPr>
                  </w:pPr>
                  <w:r>
                    <w:rPr>
                      <w:rFonts w:hint="eastAsia"/>
                      <w:kern w:val="0"/>
                      <w:szCs w:val="21"/>
                    </w:rPr>
                    <w:t>（八）符合煤炭矿区总体规划和规划环评的煤炭采选建设项目，应依法编制项目环评文件，在开工建设前取得批复，项目为伴生放射性矿的，还应当根据相关文件要求编制辐射环境影响评价专篇，与环评文件同步编制、一同报批。项目环评文件经批准后，在设计、建设等过程中发现项目的性质、规模、地点、采用的生产工艺或者防治污染、防止生态破坏的措施发生重大变动的，建设单位应当在变动实施前，主动重新报批建设项目的环境影响评价文件。各级生态环境主管部门在审批煤炭采选建设项目环评文件时，不得违规设置或保留水七保持、下级生态环境主管部门预审等前置条件；涉及生态环境敏感区的，在符合法律法规的前提下，主管部门意见不作为环评审批的前置条件。</w:t>
                  </w:r>
                </w:p>
                <w:p>
                  <w:pPr>
                    <w:rPr>
                      <w:kern w:val="0"/>
                      <w:szCs w:val="21"/>
                    </w:rPr>
                  </w:pPr>
                  <w:r>
                    <w:rPr>
                      <w:rFonts w:hint="eastAsia"/>
                      <w:kern w:val="0"/>
                      <w:szCs w:val="21"/>
                    </w:rPr>
                    <w:t>（十四）煤炭采选企业应当依法申请取得排污许可证或进行排污登记。未取得排污许可证也未进行排污登记的，不得排放污染物。</w:t>
                  </w:r>
                </w:p>
              </w:tc>
              <w:tc>
                <w:tcPr>
                  <w:tcW w:w="1490" w:type="pct"/>
                  <w:vAlign w:val="center"/>
                </w:tcPr>
                <w:p>
                  <w:pPr>
                    <w:adjustRightInd w:val="0"/>
                    <w:snapToGrid w:val="0"/>
                    <w:rPr>
                      <w:kern w:val="0"/>
                      <w:szCs w:val="21"/>
                    </w:rPr>
                  </w:pPr>
                  <w:r>
                    <w:rPr>
                      <w:rFonts w:hint="eastAsia"/>
                      <w:kern w:val="0"/>
                      <w:szCs w:val="21"/>
                    </w:rPr>
                    <w:t>本项目正在依法编制环评文件。根据样品分析测试报告煤样中</w:t>
                  </w:r>
                  <w:r>
                    <w:rPr>
                      <w:rFonts w:hint="eastAsia"/>
                      <w:kern w:val="0"/>
                      <w:szCs w:val="21"/>
                      <w:vertAlign w:val="superscript"/>
                    </w:rPr>
                    <w:t>238</w:t>
                  </w:r>
                  <w:r>
                    <w:rPr>
                      <w:rFonts w:hint="eastAsia"/>
                      <w:kern w:val="0"/>
                      <w:szCs w:val="21"/>
                    </w:rPr>
                    <w:t>U为0.026Bq/g，</w:t>
                  </w:r>
                  <w:r>
                    <w:rPr>
                      <w:rFonts w:hint="eastAsia"/>
                      <w:kern w:val="0"/>
                      <w:szCs w:val="21"/>
                      <w:vertAlign w:val="superscript"/>
                    </w:rPr>
                    <w:t>232</w:t>
                  </w:r>
                  <w:r>
                    <w:rPr>
                      <w:rFonts w:hint="eastAsia"/>
                      <w:kern w:val="0"/>
                      <w:szCs w:val="21"/>
                    </w:rPr>
                    <w:t>Th为0.036Bq/g。检测结果均小于1贝可/克（1Bq/g），无需编制辐射环境影响评价专篇。项目环评文件经批准后，在设计、建设等过程中发现项目的性质、规模、地点、采用的生产工艺或者防治污染、防止生态破坏的措施发生重大变动的，本单位会在变动实施前，主动重新报批建设项目的环境影响评价文件。</w:t>
                  </w:r>
                </w:p>
                <w:p>
                  <w:pPr>
                    <w:adjustRightInd w:val="0"/>
                    <w:snapToGrid w:val="0"/>
                    <w:rPr>
                      <w:kern w:val="0"/>
                      <w:szCs w:val="21"/>
                    </w:rPr>
                  </w:pPr>
                  <w:r>
                    <w:rPr>
                      <w:rFonts w:hint="eastAsia"/>
                      <w:kern w:val="0"/>
                      <w:szCs w:val="21"/>
                    </w:rPr>
                    <w:t>本项目会在环评文件经批准后，依法申请取得排污许可证或进行排污登记。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Merge w:val="restart"/>
                  <w:vAlign w:val="center"/>
                </w:tcPr>
                <w:p>
                  <w:pPr>
                    <w:adjustRightInd w:val="0"/>
                    <w:snapToGrid w:val="0"/>
                    <w:jc w:val="center"/>
                    <w:rPr>
                      <w:kern w:val="0"/>
                      <w:szCs w:val="21"/>
                    </w:rPr>
                  </w:pPr>
                  <w:r>
                    <w:rPr>
                      <w:rFonts w:hint="eastAsia"/>
                      <w:kern w:val="0"/>
                      <w:szCs w:val="21"/>
                    </w:rPr>
                    <w:t>《煤矸石综合利用管理办法（2014年修订版）》</w:t>
                  </w:r>
                </w:p>
              </w:tc>
              <w:tc>
                <w:tcPr>
                  <w:tcW w:w="2853" w:type="pct"/>
                  <w:vAlign w:val="center"/>
                </w:tcPr>
                <w:p>
                  <w:pPr>
                    <w:rPr>
                      <w:kern w:val="0"/>
                      <w:szCs w:val="21"/>
                    </w:rPr>
                  </w:pPr>
                  <w:r>
                    <w:rPr>
                      <w:kern w:val="0"/>
                      <w:szCs w:val="21"/>
                    </w:rPr>
                    <w:t>第十条</w:t>
                  </w:r>
                  <w:r>
                    <w:rPr>
                      <w:rFonts w:hint="eastAsia"/>
                      <w:kern w:val="0"/>
                      <w:szCs w:val="21"/>
                    </w:rPr>
                    <w:t xml:space="preserve"> </w:t>
                  </w:r>
                  <w:r>
                    <w:rPr>
                      <w:kern w:val="0"/>
                      <w:szCs w:val="21"/>
                    </w:rPr>
                    <w:t>新建（改扩建）煤矿及选煤厂应节约土地、防止环境污染，禁止建设永久性煤矸石堆放场（库）。确需建设临时性堆放场（库）的，其占地规模应当与煤炭生产和洗选加工能力相匹配，原则上占地规模按不超过3年储矸量设计，且必须有后续综合利用方案。煤矸石临时性堆放场（库）选址、设计、建设及运行管理应当符合《一般工业固体废物贮存、处置场污染控制标准》、《煤炭工程项目建设用地指标》等相关要求。</w:t>
                  </w:r>
                </w:p>
              </w:tc>
              <w:tc>
                <w:tcPr>
                  <w:tcW w:w="1490" w:type="pct"/>
                  <w:vAlign w:val="center"/>
                </w:tcPr>
                <w:p>
                  <w:pPr>
                    <w:adjustRightInd w:val="0"/>
                    <w:snapToGrid w:val="0"/>
                    <w:rPr>
                      <w:kern w:val="0"/>
                      <w:szCs w:val="21"/>
                    </w:rPr>
                  </w:pPr>
                  <w:r>
                    <w:rPr>
                      <w:rFonts w:hint="eastAsia"/>
                      <w:kern w:val="0"/>
                      <w:szCs w:val="21"/>
                    </w:rPr>
                    <w:t>本项目</w:t>
                  </w:r>
                  <w:r>
                    <w:rPr>
                      <w:kern w:val="0"/>
                      <w:szCs w:val="21"/>
                    </w:rPr>
                    <w:t>节约土地、防止环境污染，</w:t>
                  </w:r>
                  <w:r>
                    <w:rPr>
                      <w:rFonts w:hint="eastAsia"/>
                      <w:kern w:val="0"/>
                      <w:szCs w:val="21"/>
                    </w:rPr>
                    <w:t>本项目设置临时矸石堆放库，不属于永久性堆放库，建筑面积500m</w:t>
                  </w:r>
                  <w:r>
                    <w:rPr>
                      <w:rFonts w:hint="eastAsia"/>
                      <w:kern w:val="0"/>
                      <w:szCs w:val="21"/>
                      <w:vertAlign w:val="superscript"/>
                    </w:rPr>
                    <w:t>2</w:t>
                  </w:r>
                  <w:r>
                    <w:rPr>
                      <w:rFonts w:hint="eastAsia"/>
                      <w:kern w:val="0"/>
                      <w:szCs w:val="21"/>
                    </w:rPr>
                    <w:t>，</w:t>
                  </w:r>
                  <w:r>
                    <w:rPr>
                      <w:rFonts w:hint="eastAsia"/>
                      <w:szCs w:val="21"/>
                    </w:rPr>
                    <w:t>最大储存量约为1700t，</w:t>
                  </w:r>
                  <w:r>
                    <w:rPr>
                      <w:rFonts w:hint="eastAsia"/>
                      <w:kern w:val="0"/>
                      <w:szCs w:val="21"/>
                    </w:rPr>
                    <w:t>占地规模未超过3</w:t>
                  </w:r>
                  <w:r>
                    <w:rPr>
                      <w:kern w:val="0"/>
                      <w:szCs w:val="21"/>
                    </w:rPr>
                    <w:t>年储矸量</w:t>
                  </w:r>
                  <w:r>
                    <w:rPr>
                      <w:rFonts w:hint="eastAsia"/>
                      <w:kern w:val="0"/>
                      <w:szCs w:val="21"/>
                    </w:rPr>
                    <w:t>；本项目矸石</w:t>
                  </w:r>
                  <w:r>
                    <w:rPr>
                      <w:rFonts w:hint="eastAsia"/>
                      <w:szCs w:val="21"/>
                    </w:rPr>
                    <w:t>在厂区矸石堆放库暂存，定期拉运外售给建筑材料生产单位回收进行综合利用；</w:t>
                  </w:r>
                  <w:r>
                    <w:rPr>
                      <w:kern w:val="0"/>
                      <w:szCs w:val="21"/>
                    </w:rPr>
                    <w:t>煤矸石临时性库符合《一般工业固体废物贮存、处置场污染控制标准》、《煤炭工程项目建设用地指标》等相关要求</w:t>
                  </w:r>
                  <w:r>
                    <w:rPr>
                      <w:rFonts w:hint="eastAsia"/>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Merge w:val="continue"/>
                  <w:vAlign w:val="center"/>
                </w:tcPr>
                <w:p>
                  <w:pPr>
                    <w:adjustRightInd w:val="0"/>
                    <w:snapToGrid w:val="0"/>
                    <w:jc w:val="center"/>
                    <w:rPr>
                      <w:kern w:val="0"/>
                      <w:szCs w:val="21"/>
                    </w:rPr>
                  </w:pPr>
                </w:p>
              </w:tc>
              <w:tc>
                <w:tcPr>
                  <w:tcW w:w="2853" w:type="pct"/>
                  <w:vAlign w:val="center"/>
                </w:tcPr>
                <w:p>
                  <w:pPr>
                    <w:rPr>
                      <w:kern w:val="0"/>
                      <w:szCs w:val="21"/>
                    </w:rPr>
                  </w:pPr>
                  <w:r>
                    <w:rPr>
                      <w:kern w:val="0"/>
                      <w:szCs w:val="21"/>
                    </w:rPr>
                    <w:t>第十一条</w:t>
                  </w:r>
                  <w:r>
                    <w:rPr>
                      <w:rFonts w:hint="eastAsia"/>
                      <w:kern w:val="0"/>
                      <w:szCs w:val="21"/>
                    </w:rPr>
                    <w:t xml:space="preserve"> 煤炭生产企业要因地制宜，采用合理的开采方式，煤炭和耕地复合度高的地区应当采用煤矸石井下充填开采技术，其他具备条件的地区也要优先和积极推广应用此项技术，有效控制地面沉陷、损毀耕地，减少煤矸石排放量。煤炭行业主管部门会同国土资源主管部门制订煤矸石井下充填开采技术标准体系，编制煤矸石井下充填开采方案。</w:t>
                  </w:r>
                </w:p>
              </w:tc>
              <w:tc>
                <w:tcPr>
                  <w:tcW w:w="1490" w:type="pct"/>
                  <w:vAlign w:val="center"/>
                </w:tcPr>
                <w:p>
                  <w:pPr>
                    <w:adjustRightInd w:val="0"/>
                    <w:snapToGrid w:val="0"/>
                    <w:rPr>
                      <w:kern w:val="0"/>
                      <w:szCs w:val="21"/>
                    </w:rPr>
                  </w:pPr>
                  <w:r>
                    <w:rPr>
                      <w:rFonts w:hint="eastAsia"/>
                      <w:kern w:val="0"/>
                      <w:szCs w:val="21"/>
                    </w:rPr>
                    <w:t>本项目不涉及煤炭开采。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2" w:hRule="atLeast"/>
                <w:jc w:val="center"/>
              </w:trPr>
              <w:tc>
                <w:tcPr>
                  <w:tcW w:w="657" w:type="pct"/>
                  <w:vMerge w:val="continue"/>
                  <w:vAlign w:val="center"/>
                </w:tcPr>
                <w:p>
                  <w:pPr>
                    <w:adjustRightInd w:val="0"/>
                    <w:snapToGrid w:val="0"/>
                    <w:jc w:val="center"/>
                    <w:rPr>
                      <w:kern w:val="0"/>
                      <w:szCs w:val="21"/>
                    </w:rPr>
                  </w:pPr>
                </w:p>
              </w:tc>
              <w:tc>
                <w:tcPr>
                  <w:tcW w:w="2853" w:type="pct"/>
                  <w:vAlign w:val="center"/>
                </w:tcPr>
                <w:p>
                  <w:pPr>
                    <w:rPr>
                      <w:kern w:val="0"/>
                      <w:szCs w:val="21"/>
                    </w:rPr>
                  </w:pPr>
                  <w:r>
                    <w:rPr>
                      <w:kern w:val="0"/>
                      <w:szCs w:val="21"/>
                    </w:rPr>
                    <w:t>第十二条</w:t>
                  </w:r>
                  <w:r>
                    <w:rPr>
                      <w:rFonts w:hint="eastAsia"/>
                      <w:kern w:val="0"/>
                      <w:szCs w:val="21"/>
                    </w:rPr>
                    <w:t xml:space="preserve"> </w:t>
                  </w:r>
                  <w:r>
                    <w:rPr>
                      <w:kern w:val="0"/>
                      <w:szCs w:val="21"/>
                    </w:rPr>
                    <w:t>利用煤矸石进行土地复垦时，应严格按照《土地复垦条例》和国土、环境保护等相关部门出台的有关规定执行，遵守相关技术规范、质量控制标准和环保要求。</w:t>
                  </w:r>
                </w:p>
              </w:tc>
              <w:tc>
                <w:tcPr>
                  <w:tcW w:w="1490" w:type="pct"/>
                  <w:vAlign w:val="center"/>
                </w:tcPr>
                <w:p>
                  <w:pPr>
                    <w:adjustRightInd w:val="0"/>
                    <w:snapToGrid w:val="0"/>
                    <w:rPr>
                      <w:kern w:val="0"/>
                      <w:szCs w:val="21"/>
                    </w:rPr>
                  </w:pPr>
                  <w:r>
                    <w:rPr>
                      <w:rFonts w:hint="eastAsia"/>
                      <w:kern w:val="0"/>
                      <w:szCs w:val="21"/>
                    </w:rPr>
                    <w:t>本项目产生的煤矸石</w:t>
                  </w:r>
                  <w:r>
                    <w:rPr>
                      <w:rFonts w:hint="eastAsia"/>
                      <w:szCs w:val="21"/>
                    </w:rPr>
                    <w:t>定期拉运外售给建筑材料生产单位回收进行综合利用，</w:t>
                  </w:r>
                  <w:r>
                    <w:rPr>
                      <w:rFonts w:hint="eastAsia"/>
                      <w:kern w:val="0"/>
                      <w:szCs w:val="21"/>
                    </w:rPr>
                    <w:t>不涉及</w:t>
                  </w:r>
                  <w:r>
                    <w:rPr>
                      <w:kern w:val="0"/>
                      <w:szCs w:val="21"/>
                    </w:rPr>
                    <w:t>进行土地复垦</w:t>
                  </w:r>
                  <w:r>
                    <w:rPr>
                      <w:rFonts w:hint="eastAsia"/>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Merge w:val="continue"/>
                  <w:vAlign w:val="center"/>
                </w:tcPr>
                <w:p>
                  <w:pPr>
                    <w:adjustRightInd w:val="0"/>
                    <w:snapToGrid w:val="0"/>
                    <w:jc w:val="center"/>
                    <w:rPr>
                      <w:kern w:val="0"/>
                      <w:szCs w:val="21"/>
                    </w:rPr>
                  </w:pPr>
                </w:p>
              </w:tc>
              <w:tc>
                <w:tcPr>
                  <w:tcW w:w="2853" w:type="pct"/>
                  <w:vAlign w:val="center"/>
                </w:tcPr>
                <w:p>
                  <w:pPr>
                    <w:rPr>
                      <w:kern w:val="0"/>
                      <w:szCs w:val="21"/>
                    </w:rPr>
                  </w:pPr>
                  <w:r>
                    <w:rPr>
                      <w:kern w:val="0"/>
                      <w:szCs w:val="21"/>
                    </w:rPr>
                    <w:t>第十三条</w:t>
                  </w:r>
                  <w:r>
                    <w:rPr>
                      <w:rFonts w:hint="eastAsia"/>
                      <w:kern w:val="0"/>
                      <w:szCs w:val="21"/>
                    </w:rPr>
                    <w:t xml:space="preserve"> </w:t>
                  </w:r>
                  <w:r>
                    <w:rPr>
                      <w:kern w:val="0"/>
                      <w:szCs w:val="21"/>
                    </w:rPr>
                    <w:t>煤矸石发电项目应当按照国家有关部门低热值煤发电项目规定进行规划建设，煤矸石使用量不低于入炉燃料的60%（重量比），且收到基低位发热量不低于5020千焦（1200千卡）/千克，应根据煤矸石资源量合理配备循环流化床锅炉及发电机组，并在煤矸石的使用环节配备准确可靠的计量器具。鼓励能量梯级利用，满足周边用户热（冷）负荷需要。对申报资源综合利用认定的发电项目（机组），其入炉混合燃料收到基低位发热量应不高于12550千焦（3000千卡）/千克。</w:t>
                  </w:r>
                </w:p>
              </w:tc>
              <w:tc>
                <w:tcPr>
                  <w:tcW w:w="1490" w:type="pct"/>
                  <w:vAlign w:val="center"/>
                </w:tcPr>
                <w:p>
                  <w:pPr>
                    <w:adjustRightInd w:val="0"/>
                    <w:snapToGrid w:val="0"/>
                    <w:rPr>
                      <w:kern w:val="0"/>
                      <w:szCs w:val="21"/>
                    </w:rPr>
                  </w:pPr>
                  <w:r>
                    <w:rPr>
                      <w:rFonts w:hint="eastAsia"/>
                      <w:kern w:val="0"/>
                      <w:szCs w:val="21"/>
                    </w:rPr>
                    <w:t>本项目不属于煤矸石发电项目。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Merge w:val="continue"/>
                  <w:vAlign w:val="center"/>
                </w:tcPr>
                <w:p>
                  <w:pPr>
                    <w:adjustRightInd w:val="0"/>
                    <w:snapToGrid w:val="0"/>
                    <w:jc w:val="center"/>
                    <w:rPr>
                      <w:kern w:val="0"/>
                      <w:szCs w:val="21"/>
                    </w:rPr>
                  </w:pPr>
                </w:p>
              </w:tc>
              <w:tc>
                <w:tcPr>
                  <w:tcW w:w="2853" w:type="pct"/>
                  <w:vAlign w:val="center"/>
                </w:tcPr>
                <w:p>
                  <w:pPr>
                    <w:rPr>
                      <w:kern w:val="0"/>
                      <w:szCs w:val="21"/>
                    </w:rPr>
                  </w:pPr>
                  <w:r>
                    <w:rPr>
                      <w:kern w:val="0"/>
                      <w:szCs w:val="21"/>
                    </w:rPr>
                    <w:t>第十五条</w:t>
                  </w:r>
                  <w:r>
                    <w:rPr>
                      <w:rFonts w:hint="eastAsia"/>
                      <w:kern w:val="0"/>
                      <w:szCs w:val="21"/>
                    </w:rPr>
                    <w:t xml:space="preserve"> </w:t>
                  </w:r>
                  <w:r>
                    <w:rPr>
                      <w:kern w:val="0"/>
                      <w:szCs w:val="21"/>
                    </w:rPr>
                    <w:t>煤矸石产生单位应对既有的煤矸石堆场（库）的安全和环保负责，应制定治理方案，明确整改期限，采取有效综合利用措施消纳煤矸石、消除矸石山；对确难以综合利用的，须采取安全环保措施，并进行无害化处置，按照矿山生态环境保护与恢复治理技术规范等要求进行煤矸石堆场的生态保护与修复，防治煤矸石自燃对大气及周边环境的污染，鼓励对煤矸石山进行植被绿化。</w:t>
                  </w:r>
                </w:p>
              </w:tc>
              <w:tc>
                <w:tcPr>
                  <w:tcW w:w="1490" w:type="pct"/>
                  <w:vAlign w:val="center"/>
                </w:tcPr>
                <w:p>
                  <w:pPr>
                    <w:adjustRightInd w:val="0"/>
                    <w:snapToGrid w:val="0"/>
                    <w:rPr>
                      <w:kern w:val="0"/>
                      <w:szCs w:val="21"/>
                    </w:rPr>
                  </w:pPr>
                  <w:r>
                    <w:rPr>
                      <w:rFonts w:hint="eastAsia"/>
                      <w:kern w:val="0"/>
                      <w:szCs w:val="21"/>
                    </w:rPr>
                    <w:t>本项目建设单位</w:t>
                  </w:r>
                  <w:r>
                    <w:rPr>
                      <w:kern w:val="0"/>
                      <w:szCs w:val="21"/>
                    </w:rPr>
                    <w:t>对</w:t>
                  </w:r>
                  <w:r>
                    <w:rPr>
                      <w:rFonts w:hint="eastAsia"/>
                      <w:szCs w:val="21"/>
                    </w:rPr>
                    <w:t>矸石堆放库</w:t>
                  </w:r>
                  <w:r>
                    <w:rPr>
                      <w:kern w:val="0"/>
                      <w:szCs w:val="21"/>
                    </w:rPr>
                    <w:t>的安全和环保负责，</w:t>
                  </w:r>
                  <w:r>
                    <w:rPr>
                      <w:rFonts w:hint="eastAsia"/>
                      <w:kern w:val="0"/>
                      <w:szCs w:val="21"/>
                    </w:rPr>
                    <w:t>矸石</w:t>
                  </w:r>
                  <w:r>
                    <w:rPr>
                      <w:rFonts w:hint="eastAsia"/>
                      <w:szCs w:val="21"/>
                    </w:rPr>
                    <w:t>在厂区矸石堆放库暂存，定期拉运外售给建筑材料生产单位回收进行综合利用，本项目不涉及</w:t>
                  </w:r>
                  <w:r>
                    <w:rPr>
                      <w:kern w:val="0"/>
                      <w:szCs w:val="21"/>
                    </w:rPr>
                    <w:t>煤矸石山</w:t>
                  </w: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657" w:type="pct"/>
                  <w:vAlign w:val="center"/>
                </w:tcPr>
                <w:p>
                  <w:pPr>
                    <w:adjustRightInd w:val="0"/>
                    <w:snapToGrid w:val="0"/>
                    <w:jc w:val="center"/>
                    <w:rPr>
                      <w:kern w:val="0"/>
                      <w:szCs w:val="21"/>
                    </w:rPr>
                  </w:pPr>
                  <w:r>
                    <w:rPr>
                      <w:rFonts w:hint="eastAsia"/>
                      <w:kern w:val="0"/>
                      <w:szCs w:val="21"/>
                    </w:rPr>
                    <w:t>《商品煤质量管理暂行办法》</w:t>
                  </w:r>
                </w:p>
              </w:tc>
              <w:tc>
                <w:tcPr>
                  <w:tcW w:w="2853" w:type="pct"/>
                  <w:vAlign w:val="center"/>
                </w:tcPr>
                <w:p>
                  <w:pPr>
                    <w:rPr>
                      <w:kern w:val="0"/>
                      <w:szCs w:val="21"/>
                    </w:rPr>
                  </w:pPr>
                  <w:r>
                    <w:rPr>
                      <w:rFonts w:hint="eastAsia"/>
                      <w:kern w:val="0"/>
                      <w:szCs w:val="21"/>
                    </w:rPr>
                    <w:t>第五条 煤炭生产、加工、储运、销售、进口、使用企业是商品煤质量的责任主体，分别对各环节商品煤质量负责。</w:t>
                  </w:r>
                </w:p>
                <w:p>
                  <w:pPr>
                    <w:rPr>
                      <w:kern w:val="0"/>
                      <w:szCs w:val="21"/>
                    </w:rPr>
                  </w:pPr>
                  <w:r>
                    <w:rPr>
                      <w:rFonts w:hint="eastAsia"/>
                      <w:kern w:val="0"/>
                      <w:szCs w:val="21"/>
                    </w:rPr>
                    <w:t>第十条 生产、销售和进口的煤炭应按照《商品煤标识》（GB/T25209-2010）进行标识，标识内容应与实际煤质相符。</w:t>
                  </w:r>
                </w:p>
                <w:p>
                  <w:pPr>
                    <w:rPr>
                      <w:kern w:val="0"/>
                      <w:szCs w:val="21"/>
                    </w:rPr>
                  </w:pPr>
                  <w:r>
                    <w:rPr>
                      <w:rFonts w:hint="eastAsia"/>
                      <w:kern w:val="0"/>
                      <w:szCs w:val="21"/>
                    </w:rPr>
                    <w:t>第十一条 不符合本办法要求的商品煤，不得进口、销售和远距离运输。煤炭进口检验及其监管，按《进出口商品检验法》等有关法律法规执行。</w:t>
                  </w:r>
                </w:p>
                <w:p>
                  <w:pPr>
                    <w:rPr>
                      <w:kern w:val="0"/>
                      <w:szCs w:val="21"/>
                    </w:rPr>
                  </w:pPr>
                  <w:r>
                    <w:rPr>
                      <w:rFonts w:hint="eastAsia"/>
                      <w:kern w:val="0"/>
                      <w:szCs w:val="21"/>
                    </w:rPr>
                    <w:t>第十二条 承运企业对不同质量的商品煤应当“分质装车、分质堆存”。在储运过程中，不得降低煤炭的质量。</w:t>
                  </w:r>
                </w:p>
                <w:p>
                  <w:pPr>
                    <w:rPr>
                      <w:kern w:val="0"/>
                      <w:szCs w:val="21"/>
                    </w:rPr>
                  </w:pPr>
                  <w:r>
                    <w:rPr>
                      <w:rFonts w:hint="eastAsia"/>
                      <w:kern w:val="0"/>
                      <w:szCs w:val="21"/>
                    </w:rPr>
                    <w:t>第十三条 煤炭生产、加工、储运、销售、进口、使用企业均应制定必要的煤炭质量保证制度，建立商品煤质量档案。</w:t>
                  </w:r>
                </w:p>
              </w:tc>
              <w:tc>
                <w:tcPr>
                  <w:tcW w:w="1490" w:type="pct"/>
                  <w:vAlign w:val="center"/>
                </w:tcPr>
                <w:p>
                  <w:pPr>
                    <w:adjustRightInd w:val="0"/>
                    <w:snapToGrid w:val="0"/>
                    <w:rPr>
                      <w:kern w:val="0"/>
                      <w:szCs w:val="21"/>
                    </w:rPr>
                  </w:pPr>
                  <w:r>
                    <w:rPr>
                      <w:rFonts w:hint="eastAsia"/>
                      <w:kern w:val="0"/>
                      <w:szCs w:val="21"/>
                    </w:rPr>
                    <w:t>本项目建设单位是商品煤质量的责任主体，对各环节商品煤质量负责。</w:t>
                  </w:r>
                </w:p>
                <w:p>
                  <w:pPr>
                    <w:adjustRightInd w:val="0"/>
                    <w:snapToGrid w:val="0"/>
                    <w:rPr>
                      <w:kern w:val="0"/>
                      <w:szCs w:val="21"/>
                    </w:rPr>
                  </w:pPr>
                  <w:r>
                    <w:rPr>
                      <w:rFonts w:hint="eastAsia"/>
                      <w:kern w:val="0"/>
                      <w:szCs w:val="21"/>
                    </w:rPr>
                    <w:t>本项目煤炭按照《商品煤标识》（GB/T25209-2010）进行标识，标识内容与实际煤质相符。</w:t>
                  </w:r>
                </w:p>
                <w:p>
                  <w:pPr>
                    <w:adjustRightInd w:val="0"/>
                    <w:snapToGrid w:val="0"/>
                    <w:rPr>
                      <w:kern w:val="0"/>
                      <w:szCs w:val="21"/>
                    </w:rPr>
                  </w:pPr>
                  <w:r>
                    <w:rPr>
                      <w:rFonts w:hint="eastAsia"/>
                      <w:kern w:val="0"/>
                      <w:szCs w:val="21"/>
                    </w:rPr>
                    <w:t>本项目煤炭能够符合《商品煤质量管理暂行办法》相关要求，进口检验及其监管，按《进出口商品检验法》等有关法律法规执行</w:t>
                  </w:r>
                </w:p>
                <w:p>
                  <w:pPr>
                    <w:rPr>
                      <w:kern w:val="0"/>
                      <w:szCs w:val="21"/>
                    </w:rPr>
                  </w:pPr>
                  <w:r>
                    <w:rPr>
                      <w:rFonts w:hint="eastAsia"/>
                      <w:kern w:val="0"/>
                      <w:szCs w:val="21"/>
                    </w:rPr>
                    <w:t>本项目对不同质量的商品煤“分质装车、分质堆存”确保在储运过程中，不降低煤炭的质量。</w:t>
                  </w:r>
                </w:p>
                <w:p>
                  <w:pPr>
                    <w:rPr>
                      <w:kern w:val="0"/>
                      <w:szCs w:val="21"/>
                    </w:rPr>
                  </w:pPr>
                  <w:r>
                    <w:rPr>
                      <w:rFonts w:hint="eastAsia"/>
                      <w:kern w:val="0"/>
                      <w:szCs w:val="21"/>
                    </w:rPr>
                    <w:t>本项目建设单位制定煤炭质量保证制度，建立商品煤质量档案。</w:t>
                  </w:r>
                </w:p>
              </w:tc>
            </w:tr>
          </w:tbl>
          <w:p>
            <w:pPr>
              <w:autoSpaceDE w:val="0"/>
              <w:autoSpaceDN w:val="0"/>
              <w:adjustRightInd w:val="0"/>
              <w:snapToGrid w:val="0"/>
              <w:spacing w:line="500" w:lineRule="exact"/>
              <w:ind w:firstLine="481" w:firstLineChars="200"/>
              <w:rPr>
                <w:b/>
                <w:bCs/>
                <w:kern w:val="0"/>
                <w:sz w:val="24"/>
              </w:rPr>
            </w:pPr>
          </w:p>
        </w:tc>
      </w:tr>
    </w:tbl>
    <w:p>
      <w:pPr>
        <w:pStyle w:val="46"/>
        <w:rPr>
          <w:rFonts w:eastAsia="宋体" w:cs="Times New Roman"/>
        </w:rPr>
        <w:sectPr>
          <w:pgSz w:w="16838" w:h="11906" w:orient="landscape"/>
          <w:pgMar w:top="1531" w:right="1701" w:bottom="1531" w:left="1701" w:header="851" w:footer="1077" w:gutter="0"/>
          <w:cols w:space="720" w:num="1"/>
          <w:docGrid w:linePitch="312" w:charSpace="0"/>
        </w:sectPr>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7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48" w:hRule="atLeast"/>
        </w:trPr>
        <w:tc>
          <w:tcPr>
            <w:tcW w:w="846" w:type="dxa"/>
            <w:vAlign w:val="center"/>
          </w:tcPr>
          <w:p>
            <w:pPr>
              <w:jc w:val="center"/>
            </w:pPr>
            <w:r>
              <w:rPr>
                <w:rFonts w:hint="eastAsia"/>
                <w:kern w:val="0"/>
                <w:sz w:val="24"/>
              </w:rPr>
              <w:t>其他符合性分析</w:t>
            </w:r>
          </w:p>
        </w:tc>
        <w:tc>
          <w:tcPr>
            <w:tcW w:w="7988" w:type="dxa"/>
          </w:tcPr>
          <w:p>
            <w:pPr>
              <w:adjustRightInd w:val="0"/>
              <w:snapToGrid w:val="0"/>
              <w:spacing w:line="500" w:lineRule="exact"/>
              <w:ind w:firstLine="481" w:firstLineChars="200"/>
              <w:rPr>
                <w:rFonts w:cs="宋体"/>
                <w:b/>
                <w:bCs/>
                <w:kern w:val="0"/>
                <w:sz w:val="24"/>
              </w:rPr>
            </w:pPr>
            <w:r>
              <w:rPr>
                <w:rFonts w:cs="宋体"/>
                <w:b/>
                <w:bCs/>
                <w:kern w:val="0"/>
                <w:sz w:val="24"/>
              </w:rPr>
              <w:t>四、选址合理性分析</w:t>
            </w:r>
          </w:p>
          <w:p>
            <w:pPr>
              <w:adjustRightInd w:val="0"/>
              <w:snapToGrid w:val="0"/>
              <w:spacing w:line="500" w:lineRule="exact"/>
              <w:ind w:firstLine="480" w:firstLineChars="200"/>
              <w:rPr>
                <w:kern w:val="0"/>
                <w:sz w:val="24"/>
              </w:rPr>
            </w:pPr>
            <w:r>
              <w:rPr>
                <w:kern w:val="0"/>
                <w:sz w:val="24"/>
              </w:rPr>
              <w:t>1、选址相符性</w:t>
            </w:r>
          </w:p>
          <w:p>
            <w:pPr>
              <w:adjustRightInd w:val="0"/>
              <w:snapToGrid w:val="0"/>
              <w:spacing w:line="500" w:lineRule="exact"/>
              <w:ind w:firstLine="480" w:firstLineChars="200"/>
              <w:rPr>
                <w:kern w:val="0"/>
                <w:sz w:val="24"/>
              </w:rPr>
            </w:pPr>
            <w:r>
              <w:rPr>
                <w:kern w:val="0"/>
                <w:sz w:val="24"/>
              </w:rPr>
              <w:t>根据国土资源部、国家发展和改革委员会2012年5月30日发布的“关于发布实施《限制用地项目目录（2012年本）》和《禁止用地项目目录（2012年本）》的通知”中规定，各级国土资源管理部门和投资管理部门一律不得办理相关手续；凡列入《限制用地项目目录（2012年本）》的建设项目，必须符合目录规定条件，各级国土资源管理部门和投资管理部门方可办理相关手续。按照国务院批准的《产业结构调整指导目录（</w:t>
            </w:r>
            <w:r>
              <w:rPr>
                <w:rFonts w:hint="eastAsia"/>
                <w:kern w:val="0"/>
                <w:sz w:val="24"/>
              </w:rPr>
              <w:t>2024</w:t>
            </w:r>
            <w:r>
              <w:rPr>
                <w:kern w:val="0"/>
                <w:sz w:val="24"/>
              </w:rPr>
              <w:t>年本）》，凡采用明令淘汰的落后工艺技术、装备或者生产明令淘汰产品的建设项目，各级国土资源管理部门和投资管理部门一律不得办理相关手续。</w:t>
            </w:r>
          </w:p>
          <w:p>
            <w:pPr>
              <w:adjustRightInd w:val="0"/>
              <w:snapToGrid w:val="0"/>
              <w:spacing w:line="500" w:lineRule="exact"/>
              <w:ind w:firstLine="480" w:firstLineChars="200"/>
              <w:rPr>
                <w:kern w:val="0"/>
                <w:sz w:val="24"/>
              </w:rPr>
            </w:pPr>
            <w:r>
              <w:rPr>
                <w:rFonts w:hint="eastAsia"/>
                <w:kern w:val="0"/>
                <w:sz w:val="24"/>
              </w:rPr>
              <w:t>本项目建设地点位于黑龙江省鹤岗市兴安区红旗镇峻丰村，本项目用地性质为工业用地（见附件3），本项目不改变用地性质，项目选址不属于生活饮用水源地和地下水补给区、风景名胜区、温泉疗养区、水产养殖区、基本农田保护区、自然保护区等需要特殊保护区域，不属于《鹤岗市国土空间总体规划（2021-2035年）中采取硬措施保护的耕地与永久基本农田，不属于《限制用地项目目录（2012年本）》和《禁止用地项目目录（2012年本）》中的限制用地、禁止用地项目，符合土地政策要求。</w:t>
            </w:r>
          </w:p>
          <w:p>
            <w:pPr>
              <w:adjustRightInd w:val="0"/>
              <w:snapToGrid w:val="0"/>
              <w:spacing w:line="500" w:lineRule="exact"/>
              <w:ind w:firstLine="480" w:firstLineChars="200"/>
              <w:rPr>
                <w:kern w:val="0"/>
                <w:sz w:val="24"/>
              </w:rPr>
            </w:pPr>
            <w:r>
              <w:rPr>
                <w:rFonts w:hint="eastAsia"/>
                <w:kern w:val="0"/>
                <w:sz w:val="24"/>
              </w:rPr>
              <w:t>2</w:t>
            </w:r>
            <w:r>
              <w:rPr>
                <w:kern w:val="0"/>
                <w:sz w:val="24"/>
              </w:rPr>
              <w:t>、外环境相容性</w:t>
            </w:r>
          </w:p>
          <w:p>
            <w:pPr>
              <w:adjustRightInd w:val="0"/>
              <w:snapToGrid w:val="0"/>
              <w:spacing w:line="500" w:lineRule="exact"/>
              <w:ind w:firstLine="480" w:firstLineChars="200"/>
              <w:rPr>
                <w:kern w:val="0"/>
                <w:sz w:val="24"/>
              </w:rPr>
            </w:pPr>
            <w:r>
              <w:rPr>
                <w:rFonts w:hint="eastAsia"/>
                <w:kern w:val="0"/>
                <w:sz w:val="24"/>
              </w:rPr>
              <w:t>鹤岗市坦鑫煤炭销售有限公司</w:t>
            </w:r>
            <w:r>
              <w:rPr>
                <w:kern w:val="0"/>
                <w:sz w:val="24"/>
              </w:rPr>
              <w:t>位于</w:t>
            </w:r>
            <w:r>
              <w:rPr>
                <w:rFonts w:hint="eastAsia"/>
                <w:kern w:val="0"/>
                <w:sz w:val="24"/>
              </w:rPr>
              <w:t>黑龙江省鹤岗市兴安区红旗镇峻丰村</w:t>
            </w:r>
            <w:r>
              <w:rPr>
                <w:kern w:val="0"/>
                <w:sz w:val="24"/>
              </w:rPr>
              <w:t>，</w:t>
            </w:r>
            <w:bookmarkStart w:id="9" w:name="_Hlk164952086"/>
            <w:r>
              <w:rPr>
                <w:kern w:val="0"/>
                <w:sz w:val="24"/>
              </w:rPr>
              <w:t>厂区东侧</w:t>
            </w:r>
            <w:r>
              <w:rPr>
                <w:rFonts w:hint="eastAsia"/>
                <w:kern w:val="0"/>
                <w:sz w:val="24"/>
              </w:rPr>
              <w:t>、南侧、北侧为农田</w:t>
            </w:r>
            <w:r>
              <w:rPr>
                <w:kern w:val="0"/>
                <w:sz w:val="24"/>
              </w:rPr>
              <w:t>、</w:t>
            </w:r>
            <w:r>
              <w:rPr>
                <w:rFonts w:hint="eastAsia"/>
                <w:kern w:val="0"/>
                <w:sz w:val="24"/>
              </w:rPr>
              <w:t>西侧为东方金泽6矿</w:t>
            </w:r>
            <w:r>
              <w:rPr>
                <w:kern w:val="0"/>
                <w:sz w:val="24"/>
              </w:rPr>
              <w:t>。</w:t>
            </w:r>
            <w:bookmarkEnd w:id="9"/>
            <w:r>
              <w:rPr>
                <w:rFonts w:hint="eastAsia"/>
                <w:kern w:val="0"/>
                <w:sz w:val="24"/>
              </w:rPr>
              <w:t>本项目选址地势较平坦，交通便利。项目建成后</w:t>
            </w:r>
            <w:r>
              <w:rPr>
                <w:kern w:val="0"/>
                <w:sz w:val="24"/>
              </w:rPr>
              <w:t>严格落实本报告表提出的污染防治措施，保证各项污染物稳定达标排放前提下</w:t>
            </w:r>
            <w:r>
              <w:rPr>
                <w:rFonts w:hint="eastAsia"/>
                <w:kern w:val="0"/>
                <w:sz w:val="24"/>
              </w:rPr>
              <w:t>，项目建设不会使得环境功能发生改变。</w:t>
            </w:r>
          </w:p>
          <w:p>
            <w:pPr>
              <w:adjustRightInd w:val="0"/>
              <w:snapToGrid w:val="0"/>
              <w:spacing w:line="500" w:lineRule="exact"/>
              <w:ind w:firstLine="480" w:firstLineChars="200"/>
              <w:rPr>
                <w:kern w:val="0"/>
                <w:sz w:val="24"/>
              </w:rPr>
            </w:pPr>
            <w:r>
              <w:rPr>
                <w:kern w:val="0"/>
                <w:sz w:val="24"/>
              </w:rPr>
              <w:t>综上，评价认为本项目选址合理可行。</w:t>
            </w:r>
          </w:p>
        </w:tc>
      </w:tr>
    </w:tbl>
    <w:p>
      <w:pPr>
        <w:pStyle w:val="46"/>
        <w:rPr>
          <w:rFonts w:eastAsia="宋体" w:cs="Times New Roman"/>
        </w:rPr>
        <w:sectPr>
          <w:pgSz w:w="11906" w:h="16838"/>
          <w:pgMar w:top="1701" w:right="1531" w:bottom="1701" w:left="1531" w:header="851" w:footer="1077" w:gutter="0"/>
          <w:cols w:space="720" w:num="1"/>
          <w:docGrid w:linePitch="312" w:charSpace="0"/>
        </w:sectPr>
      </w:pPr>
    </w:p>
    <w:p>
      <w:pPr>
        <w:pStyle w:val="15"/>
        <w:adjustRightInd w:val="0"/>
        <w:snapToGrid w:val="0"/>
        <w:spacing w:before="0" w:beforeAutospacing="0" w:after="0" w:afterAutospacing="0"/>
        <w:outlineLvl w:val="0"/>
        <w:rPr>
          <w:rFonts w:ascii="Times New Roman" w:hAnsi="Times New Roman"/>
          <w:snapToGrid w:val="0"/>
          <w:sz w:val="30"/>
          <w:szCs w:val="30"/>
        </w:rPr>
      </w:pPr>
      <w:bookmarkStart w:id="10" w:name="_Toc210915801"/>
      <w:r>
        <w:rPr>
          <w:rFonts w:ascii="Times New Roman" w:hAnsi="Times New Roman"/>
          <w:snapToGrid w:val="0"/>
          <w:sz w:val="30"/>
          <w:szCs w:val="30"/>
        </w:rPr>
        <w:t>二、建设项目工程分析</w:t>
      </w:r>
      <w:bookmarkEnd w:id="10"/>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3"/>
        <w:gridCol w:w="790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923" w:type="dxa"/>
            <w:vAlign w:val="center"/>
          </w:tcPr>
          <w:p>
            <w:pPr>
              <w:jc w:val="center"/>
              <w:rPr>
                <w:sz w:val="28"/>
                <w:szCs w:val="36"/>
              </w:rPr>
            </w:pPr>
            <w:r>
              <w:rPr>
                <w:rFonts w:hint="eastAsia"/>
                <w:sz w:val="28"/>
                <w:szCs w:val="36"/>
              </w:rPr>
              <w:t>建设内容</w:t>
            </w:r>
          </w:p>
        </w:tc>
        <w:tc>
          <w:tcPr>
            <w:tcW w:w="7901" w:type="dxa"/>
            <w:vAlign w:val="center"/>
          </w:tcPr>
          <w:p>
            <w:pPr>
              <w:pStyle w:val="85"/>
              <w:ind w:firstLine="482"/>
              <w:rPr>
                <w:rFonts w:eastAsia="宋体"/>
              </w:rPr>
            </w:pPr>
            <w:r>
              <w:rPr>
                <w:rFonts w:eastAsia="宋体"/>
              </w:rPr>
              <w:t>一、项目概况</w:t>
            </w:r>
          </w:p>
          <w:p>
            <w:pPr>
              <w:pStyle w:val="85"/>
              <w:ind w:firstLine="480"/>
              <w:rPr>
                <w:rFonts w:eastAsia="宋体"/>
                <w:b w:val="0"/>
                <w:bCs w:val="0"/>
              </w:rPr>
            </w:pPr>
            <w:r>
              <w:rPr>
                <w:rFonts w:hint="eastAsia" w:eastAsia="宋体"/>
                <w:b w:val="0"/>
                <w:bCs w:val="0"/>
              </w:rPr>
              <w:t>（1）工程主要建设内容</w:t>
            </w:r>
          </w:p>
          <w:p>
            <w:pPr>
              <w:pStyle w:val="52"/>
              <w:spacing w:line="500" w:lineRule="exact"/>
              <w:ind w:firstLine="480"/>
              <w:rPr>
                <w:rFonts w:cs="Times New Roman"/>
                <w:color w:val="auto"/>
                <w:sz w:val="24"/>
              </w:rPr>
            </w:pPr>
            <w:r>
              <w:rPr>
                <w:rFonts w:hint="eastAsia" w:cs="Times New Roman"/>
                <w:color w:val="auto"/>
                <w:sz w:val="24"/>
              </w:rPr>
              <w:t>本项目位于黑龙江省鹤岗市兴安区红旗镇峻丰村，租赁峻丰村原旭翔煤矿现有厂房进行生产。本项目总占地面积为45000m</w:t>
            </w:r>
            <w:r>
              <w:rPr>
                <w:rFonts w:hint="eastAsia" w:cs="Times New Roman"/>
                <w:color w:val="auto"/>
                <w:sz w:val="24"/>
                <w:vertAlign w:val="superscript"/>
              </w:rPr>
              <w:t>2</w:t>
            </w:r>
            <w:r>
              <w:rPr>
                <w:rFonts w:hint="eastAsia" w:cs="Times New Roman"/>
                <w:color w:val="auto"/>
                <w:sz w:val="24"/>
              </w:rPr>
              <w:t>，</w:t>
            </w:r>
            <w:bookmarkStart w:id="11" w:name="_Hlk211952490"/>
            <w:r>
              <w:rPr>
                <w:rFonts w:hint="eastAsia" w:cs="Times New Roman"/>
                <w:color w:val="auto"/>
                <w:sz w:val="24"/>
              </w:rPr>
              <w:t>主要新建1条跳汰法原煤洗选生产线</w:t>
            </w:r>
            <w:bookmarkEnd w:id="11"/>
            <w:r>
              <w:rPr>
                <w:rFonts w:hint="eastAsia" w:cs="Times New Roman"/>
                <w:color w:val="auto"/>
                <w:sz w:val="24"/>
              </w:rPr>
              <w:t>，厂区内设有生产生间、综合用房、原煤堆放库、精煤堆放库中煤堆放库、矸石堆放库等。本项目建设完成后年洗选原煤30万吨。</w:t>
            </w:r>
          </w:p>
          <w:p>
            <w:pPr>
              <w:pStyle w:val="85"/>
              <w:ind w:firstLine="482"/>
              <w:rPr>
                <w:rFonts w:eastAsia="宋体"/>
              </w:rPr>
            </w:pPr>
            <w:r>
              <w:rPr>
                <w:rFonts w:eastAsia="宋体"/>
              </w:rPr>
              <w:t>二、建设内容</w:t>
            </w:r>
          </w:p>
          <w:p>
            <w:pPr>
              <w:pStyle w:val="52"/>
              <w:spacing w:line="500" w:lineRule="exact"/>
              <w:ind w:firstLine="480"/>
              <w:rPr>
                <w:rFonts w:cs="Times New Roman"/>
                <w:color w:val="auto"/>
                <w:sz w:val="24"/>
              </w:rPr>
            </w:pPr>
            <w:r>
              <w:rPr>
                <w:rFonts w:hint="eastAsia" w:cs="Times New Roman"/>
                <w:color w:val="auto"/>
                <w:sz w:val="24"/>
              </w:rPr>
              <w:t>本项目建设项目组成一览表详见下表</w:t>
            </w:r>
            <w:r>
              <w:rPr>
                <w:rFonts w:cs="Times New Roman"/>
                <w:color w:val="auto"/>
                <w:sz w:val="24"/>
              </w:rPr>
              <w:t>。</w:t>
            </w:r>
          </w:p>
          <w:p>
            <w:pPr>
              <w:pStyle w:val="46"/>
              <w:adjustRightInd/>
              <w:snapToGrid/>
              <w:rPr>
                <w:rFonts w:eastAsia="宋体" w:cs="Times New Roman"/>
                <w:b w:val="0"/>
                <w:bCs/>
                <w:szCs w:val="24"/>
              </w:rPr>
            </w:pPr>
            <w:r>
              <w:rPr>
                <w:rFonts w:eastAsia="宋体" w:cs="Times New Roman"/>
                <w:bCs/>
                <w:szCs w:val="24"/>
              </w:rPr>
              <w:t>表2-1 建设项目组成一览表</w:t>
            </w:r>
          </w:p>
          <w:tbl>
            <w:tblPr>
              <w:tblStyle w:val="20"/>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720"/>
              <w:gridCol w:w="1071"/>
              <w:gridCol w:w="4963"/>
              <w:gridCol w:w="93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3" w:hRule="atLeast"/>
                <w:jc w:val="center"/>
              </w:trPr>
              <w:tc>
                <w:tcPr>
                  <w:tcW w:w="468" w:type="pct"/>
                  <w:vAlign w:val="center"/>
                </w:tcPr>
                <w:p>
                  <w:pPr>
                    <w:pStyle w:val="48"/>
                    <w:rPr>
                      <w:sz w:val="21"/>
                      <w:szCs w:val="21"/>
                    </w:rPr>
                  </w:pPr>
                  <w:r>
                    <w:rPr>
                      <w:sz w:val="21"/>
                      <w:szCs w:val="21"/>
                    </w:rPr>
                    <w:t>项目</w:t>
                  </w:r>
                </w:p>
              </w:tc>
              <w:tc>
                <w:tcPr>
                  <w:tcW w:w="697" w:type="pct"/>
                  <w:vAlign w:val="center"/>
                </w:tcPr>
                <w:p>
                  <w:pPr>
                    <w:pStyle w:val="48"/>
                    <w:rPr>
                      <w:sz w:val="21"/>
                      <w:szCs w:val="21"/>
                    </w:rPr>
                  </w:pPr>
                  <w:r>
                    <w:rPr>
                      <w:sz w:val="21"/>
                      <w:szCs w:val="21"/>
                    </w:rPr>
                    <w:t>名称</w:t>
                  </w:r>
                </w:p>
              </w:tc>
              <w:tc>
                <w:tcPr>
                  <w:tcW w:w="3229" w:type="pct"/>
                  <w:vAlign w:val="center"/>
                </w:tcPr>
                <w:p>
                  <w:pPr>
                    <w:pStyle w:val="48"/>
                    <w:rPr>
                      <w:sz w:val="21"/>
                      <w:szCs w:val="21"/>
                    </w:rPr>
                  </w:pPr>
                  <w:r>
                    <w:rPr>
                      <w:sz w:val="21"/>
                      <w:szCs w:val="21"/>
                    </w:rPr>
                    <w:t>建设内容</w:t>
                  </w:r>
                </w:p>
              </w:tc>
              <w:tc>
                <w:tcPr>
                  <w:tcW w:w="606" w:type="pct"/>
                  <w:vAlign w:val="center"/>
                </w:tcPr>
                <w:p>
                  <w:pPr>
                    <w:pStyle w:val="48"/>
                    <w:rPr>
                      <w:sz w:val="21"/>
                      <w:szCs w:val="21"/>
                    </w:rPr>
                  </w:pPr>
                  <w:r>
                    <w:rPr>
                      <w:sz w:val="21"/>
                      <w:szCs w:val="21"/>
                    </w:rPr>
                    <w:t>备注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8" w:hRule="atLeast"/>
                <w:jc w:val="center"/>
              </w:trPr>
              <w:tc>
                <w:tcPr>
                  <w:tcW w:w="468" w:type="pct"/>
                  <w:vAlign w:val="center"/>
                </w:tcPr>
                <w:p>
                  <w:pPr>
                    <w:pStyle w:val="48"/>
                    <w:rPr>
                      <w:sz w:val="21"/>
                      <w:szCs w:val="21"/>
                    </w:rPr>
                  </w:pPr>
                  <w:r>
                    <w:rPr>
                      <w:sz w:val="21"/>
                      <w:szCs w:val="21"/>
                    </w:rPr>
                    <w:t>主体工程</w:t>
                  </w:r>
                </w:p>
              </w:tc>
              <w:tc>
                <w:tcPr>
                  <w:tcW w:w="697" w:type="pct"/>
                  <w:vAlign w:val="center"/>
                </w:tcPr>
                <w:p>
                  <w:pPr>
                    <w:pStyle w:val="48"/>
                    <w:rPr>
                      <w:sz w:val="21"/>
                      <w:szCs w:val="21"/>
                    </w:rPr>
                  </w:pPr>
                  <w:r>
                    <w:rPr>
                      <w:rFonts w:hint="eastAsia"/>
                      <w:sz w:val="21"/>
                      <w:szCs w:val="21"/>
                    </w:rPr>
                    <w:t>生产车间</w:t>
                  </w:r>
                </w:p>
              </w:tc>
              <w:tc>
                <w:tcPr>
                  <w:tcW w:w="3229" w:type="pct"/>
                  <w:vAlign w:val="center"/>
                </w:tcPr>
                <w:p>
                  <w:pPr>
                    <w:pStyle w:val="100"/>
                    <w:jc w:val="both"/>
                    <w:rPr>
                      <w:rFonts w:eastAsia="宋体"/>
                      <w:color w:val="auto"/>
                      <w:szCs w:val="21"/>
                    </w:rPr>
                  </w:pPr>
                  <w:r>
                    <w:rPr>
                      <w:rFonts w:hint="eastAsia" w:eastAsia="宋体"/>
                      <w:color w:val="auto"/>
                      <w:szCs w:val="21"/>
                    </w:rPr>
                    <w:t>1座生产车间，建筑面积为3000m</w:t>
                  </w:r>
                  <w:r>
                    <w:rPr>
                      <w:rFonts w:hint="eastAsia" w:eastAsia="宋体"/>
                      <w:color w:val="auto"/>
                      <w:szCs w:val="21"/>
                      <w:vertAlign w:val="superscript"/>
                    </w:rPr>
                    <w:t>2</w:t>
                  </w:r>
                  <w:r>
                    <w:rPr>
                      <w:rFonts w:hint="eastAsia" w:eastAsia="宋体"/>
                      <w:color w:val="auto"/>
                      <w:szCs w:val="21"/>
                    </w:rPr>
                    <w:t>，内设洗煤生产加工相关设备，主要新建1条跳汰法原煤洗选生产线，建设完成后年洗选原煤30万吨。主要生产工艺为原料入场-输送-原煤洗选-脱水-浓缩压滤-外运等，无破碎筛分工序。</w:t>
                  </w:r>
                </w:p>
              </w:tc>
              <w:tc>
                <w:tcPr>
                  <w:tcW w:w="606" w:type="pct"/>
                  <w:vAlign w:val="center"/>
                </w:tcPr>
                <w:p>
                  <w:pPr>
                    <w:pStyle w:val="100"/>
                    <w:rPr>
                      <w:rFonts w:eastAsia="宋体"/>
                      <w:color w:val="auto"/>
                      <w:szCs w:val="21"/>
                    </w:rPr>
                  </w:pPr>
                  <w:r>
                    <w:rPr>
                      <w:rFonts w:hint="eastAsia" w:eastAsia="宋体"/>
                      <w:color w:val="auto"/>
                      <w:szCs w:val="21"/>
                    </w:rPr>
                    <w:t>依托现有建筑</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64" w:hRule="atLeast"/>
                <w:jc w:val="center"/>
              </w:trPr>
              <w:tc>
                <w:tcPr>
                  <w:tcW w:w="468" w:type="pct"/>
                  <w:vAlign w:val="center"/>
                </w:tcPr>
                <w:p>
                  <w:pPr>
                    <w:pStyle w:val="48"/>
                    <w:rPr>
                      <w:sz w:val="21"/>
                      <w:szCs w:val="21"/>
                    </w:rPr>
                  </w:pPr>
                  <w:r>
                    <w:rPr>
                      <w:sz w:val="21"/>
                      <w:szCs w:val="21"/>
                    </w:rPr>
                    <w:t>辅助工程</w:t>
                  </w:r>
                </w:p>
              </w:tc>
              <w:tc>
                <w:tcPr>
                  <w:tcW w:w="697" w:type="pct"/>
                  <w:vAlign w:val="center"/>
                </w:tcPr>
                <w:p>
                  <w:pPr>
                    <w:pStyle w:val="48"/>
                    <w:rPr>
                      <w:sz w:val="21"/>
                      <w:szCs w:val="21"/>
                    </w:rPr>
                  </w:pPr>
                  <w:r>
                    <w:rPr>
                      <w:rFonts w:hint="eastAsia"/>
                      <w:sz w:val="21"/>
                      <w:szCs w:val="21"/>
                    </w:rPr>
                    <w:t>综合用房</w:t>
                  </w:r>
                </w:p>
              </w:tc>
              <w:tc>
                <w:tcPr>
                  <w:tcW w:w="3229" w:type="pct"/>
                  <w:vAlign w:val="center"/>
                </w:tcPr>
                <w:p>
                  <w:pPr>
                    <w:pStyle w:val="100"/>
                    <w:jc w:val="both"/>
                    <w:rPr>
                      <w:rFonts w:eastAsia="宋体"/>
                      <w:color w:val="auto"/>
                      <w:szCs w:val="21"/>
                    </w:rPr>
                  </w:pPr>
                  <w:r>
                    <w:rPr>
                      <w:rFonts w:hint="eastAsia" w:eastAsia="宋体"/>
                      <w:color w:val="auto"/>
                      <w:szCs w:val="21"/>
                    </w:rPr>
                    <w:t>1综合用房，建筑面积1500m</w:t>
                  </w:r>
                  <w:r>
                    <w:rPr>
                      <w:rFonts w:hint="eastAsia" w:eastAsia="宋体"/>
                      <w:color w:val="auto"/>
                      <w:szCs w:val="21"/>
                      <w:vertAlign w:val="superscript"/>
                    </w:rPr>
                    <w:t>2</w:t>
                  </w:r>
                  <w:r>
                    <w:rPr>
                      <w:rFonts w:hint="eastAsia" w:eastAsia="宋体"/>
                      <w:color w:val="auto"/>
                      <w:szCs w:val="21"/>
                    </w:rPr>
                    <w:t>，</w:t>
                  </w:r>
                  <w:r>
                    <w:rPr>
                      <w:rFonts w:eastAsia="宋体"/>
                      <w:color w:val="auto"/>
                      <w:szCs w:val="21"/>
                    </w:rPr>
                    <w:t>主要用于人员办公休息</w:t>
                  </w:r>
                  <w:r>
                    <w:rPr>
                      <w:rFonts w:hint="eastAsia" w:eastAsia="宋体"/>
                      <w:color w:val="auto"/>
                      <w:szCs w:val="21"/>
                    </w:rPr>
                    <w:t>和部分小型设备的存放。</w:t>
                  </w:r>
                </w:p>
              </w:tc>
              <w:tc>
                <w:tcPr>
                  <w:tcW w:w="606" w:type="pct"/>
                  <w:vAlign w:val="center"/>
                </w:tcPr>
                <w:p>
                  <w:pPr>
                    <w:pStyle w:val="48"/>
                    <w:rPr>
                      <w:sz w:val="21"/>
                      <w:szCs w:val="21"/>
                    </w:rPr>
                  </w:pPr>
                  <w:r>
                    <w:rPr>
                      <w:rFonts w:hint="eastAsia"/>
                      <w:sz w:val="21"/>
                      <w:szCs w:val="21"/>
                    </w:rPr>
                    <w:t>依托现有建筑</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64" w:hRule="atLeast"/>
                <w:jc w:val="center"/>
              </w:trPr>
              <w:tc>
                <w:tcPr>
                  <w:tcW w:w="468" w:type="pct"/>
                  <w:vMerge w:val="restart"/>
                  <w:vAlign w:val="center"/>
                </w:tcPr>
                <w:p>
                  <w:pPr>
                    <w:pStyle w:val="48"/>
                    <w:rPr>
                      <w:sz w:val="21"/>
                      <w:szCs w:val="21"/>
                    </w:rPr>
                  </w:pPr>
                  <w:r>
                    <w:rPr>
                      <w:sz w:val="21"/>
                      <w:szCs w:val="21"/>
                    </w:rPr>
                    <w:t>储运工程</w:t>
                  </w:r>
                </w:p>
              </w:tc>
              <w:tc>
                <w:tcPr>
                  <w:tcW w:w="697" w:type="pct"/>
                  <w:vAlign w:val="center"/>
                </w:tcPr>
                <w:p>
                  <w:pPr>
                    <w:pStyle w:val="100"/>
                    <w:rPr>
                      <w:rFonts w:eastAsia="宋体"/>
                      <w:color w:val="auto"/>
                      <w:szCs w:val="21"/>
                    </w:rPr>
                  </w:pPr>
                  <w:r>
                    <w:rPr>
                      <w:rFonts w:hint="eastAsia" w:eastAsia="宋体"/>
                      <w:color w:val="auto"/>
                      <w:szCs w:val="21"/>
                    </w:rPr>
                    <w:t>原料及产品转运和输送</w:t>
                  </w:r>
                </w:p>
              </w:tc>
              <w:tc>
                <w:tcPr>
                  <w:tcW w:w="3229" w:type="pct"/>
                  <w:vAlign w:val="center"/>
                </w:tcPr>
                <w:p>
                  <w:pPr>
                    <w:pStyle w:val="100"/>
                    <w:jc w:val="both"/>
                    <w:rPr>
                      <w:rFonts w:eastAsia="宋体"/>
                      <w:color w:val="auto"/>
                      <w:szCs w:val="21"/>
                    </w:rPr>
                  </w:pPr>
                  <w:r>
                    <w:rPr>
                      <w:rFonts w:eastAsia="宋体"/>
                      <w:color w:val="auto"/>
                      <w:szCs w:val="21"/>
                    </w:rPr>
                    <w:t>本项目</w:t>
                  </w:r>
                  <w:r>
                    <w:rPr>
                      <w:rFonts w:hint="eastAsia" w:eastAsia="宋体"/>
                      <w:color w:val="auto"/>
                      <w:szCs w:val="21"/>
                    </w:rPr>
                    <w:t>的原料及产品转运依托原有道路，原料经汽车运至厂区，经铲车卸至堆放库，运输车辆在厂外道路行驶过程中，加盖苫布并控制车速。本项目生产过程使用给煤机及输送机对物料进行转运和输送工作，原料煤堆放在原煤堆放库，用铲车给入受煤坑，通过给煤机进入数控洗煤机组。设置全密闭式输送通廊，装卸在全密闭厂房内进行。</w:t>
                  </w:r>
                </w:p>
                <w:p>
                  <w:pPr>
                    <w:pStyle w:val="100"/>
                    <w:jc w:val="both"/>
                    <w:rPr>
                      <w:rFonts w:eastAsia="宋体"/>
                      <w:color w:val="auto"/>
                      <w:szCs w:val="21"/>
                    </w:rPr>
                  </w:pPr>
                  <w:r>
                    <w:rPr>
                      <w:rFonts w:hint="eastAsia" w:eastAsia="宋体"/>
                      <w:color w:val="auto"/>
                      <w:szCs w:val="21"/>
                    </w:rPr>
                    <w:t>本项目产品使用输送机在全密闭厂房中输送机输送至专用运输车辆，经专用运输车辆拉运至厂外交付客户，车辆在行驶过程中加盖苫布并控制车速。</w:t>
                  </w:r>
                </w:p>
              </w:tc>
              <w:tc>
                <w:tcPr>
                  <w:tcW w:w="606" w:type="pct"/>
                  <w:vAlign w:val="center"/>
                </w:tcPr>
                <w:p>
                  <w:pPr>
                    <w:pStyle w:val="48"/>
                    <w:rPr>
                      <w:sz w:val="21"/>
                      <w:szCs w:val="21"/>
                    </w:rPr>
                  </w:pPr>
                  <w:r>
                    <w:rPr>
                      <w:rFonts w:hint="eastAsia"/>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64" w:hRule="atLeast"/>
                <w:jc w:val="center"/>
              </w:trPr>
              <w:tc>
                <w:tcPr>
                  <w:tcW w:w="468" w:type="pct"/>
                  <w:vMerge w:val="continue"/>
                  <w:vAlign w:val="center"/>
                </w:tcPr>
                <w:p>
                  <w:pPr>
                    <w:pStyle w:val="48"/>
                    <w:rPr>
                      <w:sz w:val="21"/>
                      <w:szCs w:val="21"/>
                    </w:rPr>
                  </w:pPr>
                </w:p>
              </w:tc>
              <w:tc>
                <w:tcPr>
                  <w:tcW w:w="697" w:type="pct"/>
                  <w:vAlign w:val="center"/>
                </w:tcPr>
                <w:p>
                  <w:pPr>
                    <w:pStyle w:val="100"/>
                    <w:rPr>
                      <w:rFonts w:eastAsia="宋体"/>
                      <w:color w:val="auto"/>
                      <w:szCs w:val="21"/>
                    </w:rPr>
                  </w:pPr>
                  <w:r>
                    <w:rPr>
                      <w:rFonts w:hint="eastAsia" w:eastAsia="宋体"/>
                      <w:color w:val="auto"/>
                      <w:szCs w:val="21"/>
                    </w:rPr>
                    <w:t>原煤堆放库</w:t>
                  </w:r>
                </w:p>
              </w:tc>
              <w:tc>
                <w:tcPr>
                  <w:tcW w:w="3229" w:type="pct"/>
                  <w:vAlign w:val="center"/>
                </w:tcPr>
                <w:p>
                  <w:pPr>
                    <w:pStyle w:val="100"/>
                    <w:jc w:val="both"/>
                    <w:rPr>
                      <w:rFonts w:eastAsia="宋体"/>
                      <w:color w:val="auto"/>
                      <w:szCs w:val="21"/>
                    </w:rPr>
                  </w:pPr>
                  <w:r>
                    <w:rPr>
                      <w:rFonts w:hint="eastAsia" w:eastAsia="宋体"/>
                      <w:color w:val="auto"/>
                      <w:szCs w:val="21"/>
                    </w:rPr>
                    <w:t>1座原煤堆放库，建筑面积为1500m</w:t>
                  </w:r>
                  <w:r>
                    <w:rPr>
                      <w:rFonts w:hint="eastAsia" w:eastAsia="宋体"/>
                      <w:color w:val="auto"/>
                      <w:szCs w:val="21"/>
                      <w:vertAlign w:val="superscript"/>
                    </w:rPr>
                    <w:t>2</w:t>
                  </w:r>
                  <w:r>
                    <w:rPr>
                      <w:rFonts w:hint="eastAsia" w:eastAsia="宋体"/>
                      <w:color w:val="auto"/>
                      <w:szCs w:val="21"/>
                    </w:rPr>
                    <w:t>，1层钢结构全封闭厂房，用于暂时存放原煤，最大堆高为3m，最大储存量约为5000t，每5天转运一次，不长期堆存。地面采取一般防渗措施，进行地面硬化。</w:t>
                  </w:r>
                </w:p>
              </w:tc>
              <w:tc>
                <w:tcPr>
                  <w:tcW w:w="606" w:type="pct"/>
                  <w:vAlign w:val="center"/>
                </w:tcPr>
                <w:p>
                  <w:pPr>
                    <w:pStyle w:val="48"/>
                    <w:rPr>
                      <w:sz w:val="21"/>
                      <w:szCs w:val="21"/>
                    </w:rPr>
                  </w:pPr>
                  <w:r>
                    <w:rPr>
                      <w:rFonts w:hint="eastAsia"/>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04" w:hRule="atLeast"/>
                <w:jc w:val="center"/>
              </w:trPr>
              <w:tc>
                <w:tcPr>
                  <w:tcW w:w="468" w:type="pct"/>
                  <w:vMerge w:val="continue"/>
                  <w:vAlign w:val="center"/>
                </w:tcPr>
                <w:p>
                  <w:pPr>
                    <w:pStyle w:val="48"/>
                    <w:rPr>
                      <w:sz w:val="21"/>
                      <w:szCs w:val="21"/>
                    </w:rPr>
                  </w:pPr>
                </w:p>
              </w:tc>
              <w:tc>
                <w:tcPr>
                  <w:tcW w:w="697" w:type="pct"/>
                  <w:vAlign w:val="center"/>
                </w:tcPr>
                <w:p>
                  <w:pPr>
                    <w:pStyle w:val="100"/>
                    <w:rPr>
                      <w:rFonts w:eastAsia="宋体"/>
                      <w:color w:val="auto"/>
                      <w:szCs w:val="21"/>
                    </w:rPr>
                  </w:pPr>
                  <w:r>
                    <w:rPr>
                      <w:rFonts w:hint="eastAsia" w:eastAsia="宋体"/>
                      <w:color w:val="auto"/>
                      <w:szCs w:val="21"/>
                    </w:rPr>
                    <w:t>精煤堆放库</w:t>
                  </w:r>
                </w:p>
              </w:tc>
              <w:tc>
                <w:tcPr>
                  <w:tcW w:w="3229" w:type="pct"/>
                  <w:vAlign w:val="center"/>
                </w:tcPr>
                <w:p>
                  <w:pPr>
                    <w:pStyle w:val="100"/>
                    <w:jc w:val="both"/>
                    <w:rPr>
                      <w:rFonts w:eastAsia="宋体"/>
                      <w:color w:val="auto"/>
                      <w:szCs w:val="21"/>
                    </w:rPr>
                  </w:pPr>
                  <w:r>
                    <w:rPr>
                      <w:rFonts w:hint="eastAsia" w:eastAsia="宋体"/>
                      <w:color w:val="auto"/>
                      <w:szCs w:val="21"/>
                    </w:rPr>
                    <w:t>1座精煤堆放库，建筑面积500m</w:t>
                  </w:r>
                  <w:r>
                    <w:rPr>
                      <w:rFonts w:hint="eastAsia" w:eastAsia="宋体"/>
                      <w:color w:val="auto"/>
                      <w:szCs w:val="21"/>
                      <w:vertAlign w:val="superscript"/>
                    </w:rPr>
                    <w:t>2</w:t>
                  </w:r>
                  <w:r>
                    <w:rPr>
                      <w:rFonts w:hint="eastAsia" w:eastAsia="宋体"/>
                      <w:color w:val="auto"/>
                      <w:szCs w:val="21"/>
                    </w:rPr>
                    <w:t>，1层钢结构全封闭厂房，主要用于暂时存放精煤，最大堆高为3m，最大储存量约为1700t，每3天转运一次，不长期堆存。地面进行一般防渗，四周设置导流沟，少量渗滤液收集后回到防渗沉淀池沉淀后循环使用。</w:t>
                  </w:r>
                </w:p>
              </w:tc>
              <w:tc>
                <w:tcPr>
                  <w:tcW w:w="606" w:type="pct"/>
                  <w:vAlign w:val="center"/>
                </w:tcPr>
                <w:p>
                  <w:pPr>
                    <w:pStyle w:val="48"/>
                    <w:rPr>
                      <w:sz w:val="21"/>
                      <w:szCs w:val="21"/>
                    </w:rPr>
                  </w:pPr>
                  <w:r>
                    <w:rPr>
                      <w:rFonts w:hint="eastAsia"/>
                      <w:sz w:val="21"/>
                      <w:szCs w:val="21"/>
                    </w:rPr>
                    <w:t>依托现有建筑</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04" w:hRule="atLeast"/>
                <w:jc w:val="center"/>
              </w:trPr>
              <w:tc>
                <w:tcPr>
                  <w:tcW w:w="468" w:type="pct"/>
                  <w:vMerge w:val="continue"/>
                  <w:vAlign w:val="center"/>
                </w:tcPr>
                <w:p>
                  <w:pPr>
                    <w:pStyle w:val="48"/>
                    <w:rPr>
                      <w:sz w:val="21"/>
                      <w:szCs w:val="21"/>
                    </w:rPr>
                  </w:pPr>
                </w:p>
              </w:tc>
              <w:tc>
                <w:tcPr>
                  <w:tcW w:w="697" w:type="pct"/>
                  <w:vAlign w:val="center"/>
                </w:tcPr>
                <w:p>
                  <w:pPr>
                    <w:pStyle w:val="100"/>
                    <w:rPr>
                      <w:rFonts w:eastAsia="宋体"/>
                      <w:color w:val="auto"/>
                      <w:szCs w:val="21"/>
                    </w:rPr>
                  </w:pPr>
                  <w:r>
                    <w:rPr>
                      <w:rFonts w:hint="eastAsia" w:eastAsia="宋体"/>
                      <w:color w:val="auto"/>
                      <w:szCs w:val="21"/>
                    </w:rPr>
                    <w:t>中煤堆放库</w:t>
                  </w:r>
                </w:p>
              </w:tc>
              <w:tc>
                <w:tcPr>
                  <w:tcW w:w="3229" w:type="pct"/>
                  <w:vAlign w:val="center"/>
                </w:tcPr>
                <w:p>
                  <w:pPr>
                    <w:pStyle w:val="100"/>
                    <w:jc w:val="both"/>
                    <w:rPr>
                      <w:rFonts w:eastAsia="宋体"/>
                      <w:color w:val="auto"/>
                      <w:szCs w:val="21"/>
                    </w:rPr>
                  </w:pPr>
                  <w:r>
                    <w:rPr>
                      <w:rFonts w:hint="eastAsia" w:eastAsia="宋体"/>
                      <w:color w:val="auto"/>
                      <w:szCs w:val="21"/>
                    </w:rPr>
                    <w:t>1座中煤堆放库，建筑面积为500m</w:t>
                  </w:r>
                  <w:r>
                    <w:rPr>
                      <w:rFonts w:hint="eastAsia" w:eastAsia="宋体"/>
                      <w:color w:val="auto"/>
                      <w:szCs w:val="21"/>
                      <w:vertAlign w:val="superscript"/>
                    </w:rPr>
                    <w:t>2</w:t>
                  </w:r>
                  <w:r>
                    <w:rPr>
                      <w:rFonts w:hint="eastAsia" w:eastAsia="宋体"/>
                      <w:color w:val="auto"/>
                      <w:szCs w:val="21"/>
                    </w:rPr>
                    <w:t>，1层钢结构全封闭厂房，用于暂时存放成品中煤，最大堆高为3m，最大储存量约为1700t，每7天转运一次，不长期堆存。地面进行一般防渗，四周设置导流沟，少量渗滤液收集后回到防渗沉淀池沉淀后循环使用。</w:t>
                  </w:r>
                </w:p>
              </w:tc>
              <w:tc>
                <w:tcPr>
                  <w:tcW w:w="606" w:type="pct"/>
                  <w:vAlign w:val="center"/>
                </w:tcPr>
                <w:p>
                  <w:pPr>
                    <w:pStyle w:val="48"/>
                    <w:rPr>
                      <w:sz w:val="21"/>
                      <w:szCs w:val="21"/>
                    </w:rPr>
                  </w:pPr>
                  <w:r>
                    <w:rPr>
                      <w:rFonts w:hint="eastAsia"/>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04" w:hRule="atLeast"/>
                <w:jc w:val="center"/>
              </w:trPr>
              <w:tc>
                <w:tcPr>
                  <w:tcW w:w="468" w:type="pct"/>
                  <w:vMerge w:val="continue"/>
                  <w:vAlign w:val="center"/>
                </w:tcPr>
                <w:p>
                  <w:pPr>
                    <w:pStyle w:val="48"/>
                    <w:rPr>
                      <w:sz w:val="21"/>
                      <w:szCs w:val="21"/>
                    </w:rPr>
                  </w:pPr>
                </w:p>
              </w:tc>
              <w:tc>
                <w:tcPr>
                  <w:tcW w:w="697" w:type="pct"/>
                  <w:vAlign w:val="center"/>
                </w:tcPr>
                <w:p>
                  <w:pPr>
                    <w:pStyle w:val="100"/>
                    <w:rPr>
                      <w:rFonts w:eastAsia="宋体"/>
                      <w:color w:val="auto"/>
                      <w:szCs w:val="21"/>
                    </w:rPr>
                  </w:pPr>
                  <w:bookmarkStart w:id="12" w:name="_Hlk177978109"/>
                  <w:r>
                    <w:rPr>
                      <w:rFonts w:hint="eastAsia" w:eastAsia="宋体"/>
                      <w:color w:val="auto"/>
                      <w:szCs w:val="21"/>
                    </w:rPr>
                    <w:t>矸石堆放库</w:t>
                  </w:r>
                  <w:bookmarkEnd w:id="12"/>
                </w:p>
              </w:tc>
              <w:tc>
                <w:tcPr>
                  <w:tcW w:w="3229" w:type="pct"/>
                  <w:vAlign w:val="center"/>
                </w:tcPr>
                <w:p>
                  <w:pPr>
                    <w:pStyle w:val="100"/>
                    <w:jc w:val="both"/>
                    <w:rPr>
                      <w:rFonts w:eastAsia="宋体"/>
                      <w:color w:val="auto"/>
                      <w:szCs w:val="21"/>
                    </w:rPr>
                  </w:pPr>
                  <w:r>
                    <w:rPr>
                      <w:rFonts w:hint="eastAsia" w:eastAsia="宋体"/>
                      <w:color w:val="auto"/>
                      <w:szCs w:val="21"/>
                    </w:rPr>
                    <w:t>1座矸石堆放库，建筑面积为500m</w:t>
                  </w:r>
                  <w:r>
                    <w:rPr>
                      <w:rFonts w:hint="eastAsia" w:eastAsia="宋体"/>
                      <w:color w:val="auto"/>
                      <w:szCs w:val="21"/>
                      <w:vertAlign w:val="superscript"/>
                    </w:rPr>
                    <w:t>2</w:t>
                  </w:r>
                  <w:r>
                    <w:rPr>
                      <w:rFonts w:hint="eastAsia" w:eastAsia="宋体"/>
                      <w:color w:val="auto"/>
                      <w:szCs w:val="21"/>
                    </w:rPr>
                    <w:t>，1层钢结构全封闭厂房，用于暂时存放矸石，最大堆高为3m，最大储存量约为1700t，每5天转运一次，不长期堆存。地面进行一般防渗，四周设置导流沟，少量渗滤液收集后回到防渗沉淀池沉淀后循环使用。</w:t>
                  </w:r>
                </w:p>
              </w:tc>
              <w:tc>
                <w:tcPr>
                  <w:tcW w:w="606" w:type="pct"/>
                  <w:vAlign w:val="center"/>
                </w:tcPr>
                <w:p>
                  <w:pPr>
                    <w:pStyle w:val="48"/>
                    <w:rPr>
                      <w:sz w:val="21"/>
                      <w:szCs w:val="21"/>
                    </w:rPr>
                  </w:pPr>
                  <w:r>
                    <w:rPr>
                      <w:rFonts w:hint="eastAsia"/>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04" w:hRule="atLeast"/>
                <w:jc w:val="center"/>
              </w:trPr>
              <w:tc>
                <w:tcPr>
                  <w:tcW w:w="468" w:type="pct"/>
                  <w:vMerge w:val="continue"/>
                  <w:vAlign w:val="center"/>
                </w:tcPr>
                <w:p>
                  <w:pPr>
                    <w:pStyle w:val="48"/>
                    <w:rPr>
                      <w:sz w:val="21"/>
                      <w:szCs w:val="21"/>
                    </w:rPr>
                  </w:pPr>
                </w:p>
              </w:tc>
              <w:tc>
                <w:tcPr>
                  <w:tcW w:w="697" w:type="pct"/>
                  <w:vAlign w:val="center"/>
                </w:tcPr>
                <w:p>
                  <w:pPr>
                    <w:pStyle w:val="100"/>
                    <w:rPr>
                      <w:rFonts w:eastAsia="宋体"/>
                      <w:color w:val="auto"/>
                      <w:szCs w:val="21"/>
                    </w:rPr>
                  </w:pPr>
                  <w:r>
                    <w:rPr>
                      <w:rFonts w:hint="eastAsia" w:eastAsia="宋体"/>
                      <w:color w:val="auto"/>
                      <w:szCs w:val="21"/>
                    </w:rPr>
                    <w:t>煤泥暂存池</w:t>
                  </w:r>
                </w:p>
              </w:tc>
              <w:tc>
                <w:tcPr>
                  <w:tcW w:w="3229" w:type="pct"/>
                  <w:vAlign w:val="center"/>
                </w:tcPr>
                <w:p>
                  <w:pPr>
                    <w:pStyle w:val="100"/>
                    <w:jc w:val="both"/>
                    <w:rPr>
                      <w:rFonts w:eastAsia="宋体"/>
                      <w:color w:val="auto"/>
                      <w:szCs w:val="21"/>
                    </w:rPr>
                  </w:pPr>
                  <w:r>
                    <w:rPr>
                      <w:rFonts w:hint="eastAsia" w:eastAsia="宋体"/>
                      <w:color w:val="auto"/>
                      <w:szCs w:val="21"/>
                    </w:rPr>
                    <w:t>在生产车间内部设置1个煤泥暂存池，最大容积不低于55m</w:t>
                  </w:r>
                  <w:r>
                    <w:rPr>
                      <w:rFonts w:hint="eastAsia" w:eastAsia="宋体"/>
                      <w:color w:val="auto"/>
                      <w:szCs w:val="21"/>
                      <w:vertAlign w:val="superscript"/>
                    </w:rPr>
                    <w:t>3</w:t>
                  </w:r>
                  <w:r>
                    <w:rPr>
                      <w:rFonts w:hint="eastAsia" w:eastAsia="宋体"/>
                      <w:color w:val="auto"/>
                      <w:szCs w:val="21"/>
                    </w:rPr>
                    <w:t>，采用外购商品混凝土成品暂存池，为地上结构。煤泥暂存池位于生产车间内，可防止雨水直接进入池体，对暂存池池体及底部做防渗处理，为重点防渗区，同时在煤泥池周围设置导流沟，以防止煤泥渗漏和流失。</w:t>
                  </w:r>
                </w:p>
                <w:p>
                  <w:pPr>
                    <w:pStyle w:val="100"/>
                    <w:jc w:val="both"/>
                    <w:rPr>
                      <w:rFonts w:eastAsia="宋体"/>
                      <w:color w:val="auto"/>
                      <w:szCs w:val="21"/>
                    </w:rPr>
                  </w:pPr>
                  <w:r>
                    <w:rPr>
                      <w:rFonts w:hint="eastAsia" w:eastAsia="宋体"/>
                      <w:color w:val="auto"/>
                      <w:szCs w:val="21"/>
                    </w:rPr>
                    <w:t>产生的煤泥储存在煤泥暂存池，日产日清，不做长期储存。煤泥储存时会产生的少量煤泥沥出水，该部分沥水通过导流沟集中收集，排到循环水池进行沉淀处理，处理后回用于洗煤用水循环使用，不外排。</w:t>
                  </w:r>
                </w:p>
                <w:p>
                  <w:pPr>
                    <w:pStyle w:val="100"/>
                    <w:jc w:val="both"/>
                    <w:rPr>
                      <w:rFonts w:eastAsia="宋体"/>
                      <w:color w:val="auto"/>
                      <w:szCs w:val="21"/>
                    </w:rPr>
                  </w:pPr>
                  <w:r>
                    <w:rPr>
                      <w:rFonts w:hint="eastAsia" w:eastAsia="宋体"/>
                      <w:color w:val="auto"/>
                      <w:szCs w:val="21"/>
                    </w:rPr>
                    <w:t>本项目设置的煤泥暂存池最大容积不低于55m</w:t>
                  </w:r>
                  <w:r>
                    <w:rPr>
                      <w:rFonts w:hint="eastAsia" w:eastAsia="宋体"/>
                      <w:color w:val="auto"/>
                      <w:szCs w:val="21"/>
                      <w:vertAlign w:val="superscript"/>
                    </w:rPr>
                    <w:t>3</w:t>
                  </w:r>
                  <w:r>
                    <w:rPr>
                      <w:rFonts w:hint="eastAsia" w:eastAsia="宋体"/>
                      <w:color w:val="auto"/>
                      <w:szCs w:val="21"/>
                    </w:rPr>
                    <w:t>，能够满足运营期内一天产生的煤泥量的暂存需要。本项目运行期产生的煤泥每天清运一次，如发现煤泥未及时清运，应立即停产，将煤泥存放至煤泥暂存池，待厂区内煤泥清运出厂后恢复生产。</w:t>
                  </w:r>
                </w:p>
              </w:tc>
              <w:tc>
                <w:tcPr>
                  <w:tcW w:w="606" w:type="pct"/>
                  <w:vAlign w:val="center"/>
                </w:tcPr>
                <w:p>
                  <w:pPr>
                    <w:pStyle w:val="48"/>
                    <w:rPr>
                      <w:sz w:val="21"/>
                      <w:szCs w:val="21"/>
                    </w:rPr>
                  </w:pPr>
                  <w:r>
                    <w:rPr>
                      <w:rFonts w:hint="eastAsia"/>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04" w:hRule="atLeast"/>
                <w:jc w:val="center"/>
              </w:trPr>
              <w:tc>
                <w:tcPr>
                  <w:tcW w:w="468" w:type="pct"/>
                  <w:vMerge w:val="continue"/>
                  <w:vAlign w:val="center"/>
                </w:tcPr>
                <w:p>
                  <w:pPr>
                    <w:pStyle w:val="48"/>
                    <w:rPr>
                      <w:sz w:val="21"/>
                      <w:szCs w:val="21"/>
                    </w:rPr>
                  </w:pPr>
                </w:p>
              </w:tc>
              <w:tc>
                <w:tcPr>
                  <w:tcW w:w="697" w:type="pct"/>
                  <w:vAlign w:val="center"/>
                </w:tcPr>
                <w:p>
                  <w:pPr>
                    <w:pStyle w:val="100"/>
                    <w:rPr>
                      <w:rFonts w:eastAsia="宋体"/>
                      <w:color w:val="auto"/>
                      <w:szCs w:val="21"/>
                    </w:rPr>
                  </w:pPr>
                  <w:r>
                    <w:rPr>
                      <w:rFonts w:hint="eastAsia" w:eastAsia="宋体"/>
                      <w:color w:val="auto"/>
                      <w:szCs w:val="21"/>
                    </w:rPr>
                    <w:t>循环沉淀池</w:t>
                  </w:r>
                </w:p>
              </w:tc>
              <w:tc>
                <w:tcPr>
                  <w:tcW w:w="3229" w:type="pct"/>
                  <w:vAlign w:val="center"/>
                </w:tcPr>
                <w:p>
                  <w:pPr>
                    <w:pStyle w:val="100"/>
                    <w:jc w:val="both"/>
                    <w:rPr>
                      <w:rFonts w:eastAsia="宋体"/>
                      <w:color w:val="auto"/>
                      <w:szCs w:val="21"/>
                    </w:rPr>
                  </w:pPr>
                  <w:r>
                    <w:rPr>
                      <w:rFonts w:hint="eastAsia" w:eastAsia="宋体"/>
                      <w:color w:val="auto"/>
                      <w:szCs w:val="21"/>
                    </w:rPr>
                    <w:t>设置1座循环沉淀池，有效容积不低于600m</w:t>
                  </w:r>
                  <w:r>
                    <w:rPr>
                      <w:rFonts w:hint="eastAsia" w:eastAsia="宋体"/>
                      <w:color w:val="auto"/>
                      <w:szCs w:val="21"/>
                      <w:vertAlign w:val="superscript"/>
                    </w:rPr>
                    <w:t>3</w:t>
                  </w:r>
                  <w:r>
                    <w:rPr>
                      <w:rFonts w:hint="eastAsia" w:eastAsia="宋体"/>
                      <w:color w:val="auto"/>
                      <w:szCs w:val="21"/>
                    </w:rPr>
                    <w:t>，对池体及底部做防渗处理，为重点防渗区，配备完备的回水系统，本项目生产废水排入循环沉淀池，经浓缩机处理后回用于生产，不外排。</w:t>
                  </w:r>
                </w:p>
              </w:tc>
              <w:tc>
                <w:tcPr>
                  <w:tcW w:w="606" w:type="pct"/>
                  <w:vAlign w:val="center"/>
                </w:tcPr>
                <w:p>
                  <w:pPr>
                    <w:pStyle w:val="48"/>
                    <w:rPr>
                      <w:sz w:val="21"/>
                      <w:szCs w:val="21"/>
                    </w:rPr>
                  </w:pPr>
                  <w:r>
                    <w:rPr>
                      <w:rFonts w:hint="eastAsia"/>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04" w:hRule="atLeast"/>
                <w:jc w:val="center"/>
              </w:trPr>
              <w:tc>
                <w:tcPr>
                  <w:tcW w:w="468" w:type="pct"/>
                  <w:vMerge w:val="continue"/>
                  <w:vAlign w:val="center"/>
                </w:tcPr>
                <w:p>
                  <w:pPr>
                    <w:pStyle w:val="48"/>
                    <w:rPr>
                      <w:sz w:val="21"/>
                      <w:szCs w:val="21"/>
                    </w:rPr>
                  </w:pPr>
                </w:p>
              </w:tc>
              <w:tc>
                <w:tcPr>
                  <w:tcW w:w="697" w:type="pct"/>
                  <w:vAlign w:val="center"/>
                </w:tcPr>
                <w:p>
                  <w:pPr>
                    <w:pStyle w:val="100"/>
                    <w:rPr>
                      <w:rFonts w:eastAsia="宋体"/>
                      <w:color w:val="auto"/>
                      <w:szCs w:val="21"/>
                    </w:rPr>
                  </w:pPr>
                  <w:r>
                    <w:rPr>
                      <w:rFonts w:hint="eastAsia" w:eastAsia="宋体"/>
                      <w:color w:val="auto"/>
                      <w:szCs w:val="21"/>
                    </w:rPr>
                    <w:t>初期雨水收集池</w:t>
                  </w:r>
                </w:p>
              </w:tc>
              <w:tc>
                <w:tcPr>
                  <w:tcW w:w="3229" w:type="pct"/>
                  <w:vAlign w:val="center"/>
                </w:tcPr>
                <w:p>
                  <w:pPr>
                    <w:pStyle w:val="100"/>
                    <w:jc w:val="both"/>
                    <w:rPr>
                      <w:rFonts w:eastAsia="宋体"/>
                      <w:color w:val="auto"/>
                      <w:szCs w:val="21"/>
                    </w:rPr>
                  </w:pPr>
                  <w:r>
                    <w:rPr>
                      <w:rFonts w:hint="eastAsia" w:eastAsia="宋体"/>
                      <w:color w:val="auto"/>
                      <w:szCs w:val="21"/>
                    </w:rPr>
                    <w:t>设置1座初期雨水收集池，有效容积不低于700m</w:t>
                  </w:r>
                  <w:r>
                    <w:rPr>
                      <w:rFonts w:hint="eastAsia" w:eastAsia="宋体"/>
                      <w:color w:val="auto"/>
                      <w:szCs w:val="21"/>
                      <w:vertAlign w:val="superscript"/>
                    </w:rPr>
                    <w:t>3</w:t>
                  </w:r>
                  <w:r>
                    <w:rPr>
                      <w:rFonts w:hint="eastAsia" w:eastAsia="宋体"/>
                      <w:color w:val="auto"/>
                      <w:szCs w:val="21"/>
                    </w:rPr>
                    <w:t>，厂区内初期雨水通过地面坡度自流进入雨水边沟内，经边沟汇入初期雨水池内，池体做防渗处理，为重点防渗区，收集到的雨水经沉淀后用于厂区洒水降尘。</w:t>
                  </w:r>
                </w:p>
              </w:tc>
              <w:tc>
                <w:tcPr>
                  <w:tcW w:w="606" w:type="pct"/>
                  <w:vAlign w:val="center"/>
                </w:tcPr>
                <w:p>
                  <w:pPr>
                    <w:pStyle w:val="48"/>
                    <w:rPr>
                      <w:sz w:val="21"/>
                      <w:szCs w:val="21"/>
                    </w:rPr>
                  </w:pPr>
                  <w:r>
                    <w:rPr>
                      <w:rFonts w:hint="eastAsia"/>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04" w:hRule="atLeast"/>
                <w:jc w:val="center"/>
              </w:trPr>
              <w:tc>
                <w:tcPr>
                  <w:tcW w:w="468" w:type="pct"/>
                  <w:vMerge w:val="continue"/>
                  <w:vAlign w:val="center"/>
                </w:tcPr>
                <w:p>
                  <w:pPr>
                    <w:pStyle w:val="48"/>
                    <w:rPr>
                      <w:sz w:val="21"/>
                      <w:szCs w:val="21"/>
                    </w:rPr>
                  </w:pPr>
                </w:p>
              </w:tc>
              <w:tc>
                <w:tcPr>
                  <w:tcW w:w="697" w:type="pct"/>
                  <w:vAlign w:val="center"/>
                </w:tcPr>
                <w:p>
                  <w:pPr>
                    <w:pStyle w:val="100"/>
                    <w:rPr>
                      <w:rFonts w:eastAsia="宋体"/>
                      <w:color w:val="auto"/>
                      <w:szCs w:val="21"/>
                    </w:rPr>
                  </w:pPr>
                  <w:r>
                    <w:rPr>
                      <w:rFonts w:hint="eastAsia" w:eastAsia="宋体"/>
                      <w:color w:val="auto"/>
                      <w:szCs w:val="21"/>
                    </w:rPr>
                    <w:t>事故浓缩机</w:t>
                  </w:r>
                </w:p>
              </w:tc>
              <w:tc>
                <w:tcPr>
                  <w:tcW w:w="3229" w:type="pct"/>
                  <w:vAlign w:val="center"/>
                </w:tcPr>
                <w:p>
                  <w:pPr>
                    <w:pStyle w:val="100"/>
                    <w:jc w:val="both"/>
                    <w:rPr>
                      <w:rFonts w:eastAsia="宋体"/>
                      <w:color w:val="auto"/>
                      <w:szCs w:val="21"/>
                    </w:rPr>
                  </w:pPr>
                  <w:r>
                    <w:rPr>
                      <w:rFonts w:hint="eastAsia" w:eastAsia="宋体"/>
                      <w:color w:val="auto"/>
                      <w:szCs w:val="21"/>
                    </w:rPr>
                    <w:t>本项目额外设置1台备用事故浓缩机作为事故煤泥水应急处理设施，事故浓缩机与工作浓缩机均采用GSNG型浓缩机，最大容积为120m</w:t>
                  </w:r>
                  <w:r>
                    <w:rPr>
                      <w:rFonts w:hint="eastAsia" w:eastAsia="宋体"/>
                      <w:color w:val="auto"/>
                      <w:szCs w:val="21"/>
                      <w:vertAlign w:val="superscript"/>
                    </w:rPr>
                    <w:t>3</w:t>
                  </w:r>
                  <w:r>
                    <w:rPr>
                      <w:rFonts w:hint="eastAsia" w:eastAsia="宋体"/>
                      <w:color w:val="auto"/>
                      <w:szCs w:val="21"/>
                    </w:rPr>
                    <w:t>，可满足事故状态下的废水临时储存，为避免事故性废水外排，一旦发生事故，所有生产设备全部停止运作，此时洗煤废水排入事故浓缩机，谨防生产废水外排。</w:t>
                  </w:r>
                </w:p>
              </w:tc>
              <w:tc>
                <w:tcPr>
                  <w:tcW w:w="606" w:type="pct"/>
                  <w:vAlign w:val="center"/>
                </w:tcPr>
                <w:p>
                  <w:pPr>
                    <w:pStyle w:val="48"/>
                    <w:rPr>
                      <w:sz w:val="21"/>
                      <w:szCs w:val="21"/>
                    </w:rPr>
                  </w:pPr>
                  <w:r>
                    <w:rPr>
                      <w:rFonts w:hint="eastAsia"/>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04" w:hRule="atLeast"/>
                <w:jc w:val="center"/>
              </w:trPr>
              <w:tc>
                <w:tcPr>
                  <w:tcW w:w="468" w:type="pct"/>
                  <w:vMerge w:val="continue"/>
                  <w:vAlign w:val="center"/>
                </w:tcPr>
                <w:p>
                  <w:pPr>
                    <w:pStyle w:val="48"/>
                    <w:rPr>
                      <w:sz w:val="21"/>
                      <w:szCs w:val="21"/>
                    </w:rPr>
                  </w:pPr>
                </w:p>
              </w:tc>
              <w:tc>
                <w:tcPr>
                  <w:tcW w:w="697" w:type="pct"/>
                  <w:vAlign w:val="center"/>
                </w:tcPr>
                <w:p>
                  <w:pPr>
                    <w:pStyle w:val="100"/>
                    <w:rPr>
                      <w:rFonts w:eastAsia="宋体"/>
                      <w:color w:val="auto"/>
                      <w:szCs w:val="21"/>
                    </w:rPr>
                  </w:pPr>
                  <w:bookmarkStart w:id="13" w:name="_Hlk177978295"/>
                  <w:r>
                    <w:rPr>
                      <w:rFonts w:hint="eastAsia" w:eastAsia="宋体"/>
                      <w:color w:val="auto"/>
                      <w:szCs w:val="21"/>
                    </w:rPr>
                    <w:t>危险废物贮存点</w:t>
                  </w:r>
                  <w:bookmarkEnd w:id="13"/>
                </w:p>
              </w:tc>
              <w:tc>
                <w:tcPr>
                  <w:tcW w:w="3229" w:type="pct"/>
                  <w:vAlign w:val="center"/>
                </w:tcPr>
                <w:p>
                  <w:pPr>
                    <w:pStyle w:val="100"/>
                    <w:jc w:val="both"/>
                    <w:rPr>
                      <w:rFonts w:eastAsia="宋体"/>
                      <w:color w:val="auto"/>
                      <w:szCs w:val="21"/>
                    </w:rPr>
                  </w:pPr>
                  <w:r>
                    <w:rPr>
                      <w:rFonts w:hint="eastAsia" w:eastAsia="宋体"/>
                      <w:color w:val="auto"/>
                      <w:szCs w:val="21"/>
                    </w:rPr>
                    <w:t>位于生产车间内，建筑面积5m</w:t>
                  </w:r>
                  <w:r>
                    <w:rPr>
                      <w:rFonts w:hint="eastAsia" w:eastAsia="宋体"/>
                      <w:color w:val="auto"/>
                      <w:szCs w:val="21"/>
                      <w:vertAlign w:val="superscript"/>
                    </w:rPr>
                    <w:t>2</w:t>
                  </w:r>
                  <w:r>
                    <w:rPr>
                      <w:rFonts w:hint="eastAsia" w:eastAsia="宋体"/>
                      <w:color w:val="auto"/>
                      <w:szCs w:val="21"/>
                    </w:rPr>
                    <w:t>，用于存放废矿物油、废弃含油抹布及劳保用品，可储存废矿物油0.5t，危险废物的储存周期为1年，贮存点应进行重点防渗，等效粘土防渗层Mb&gt;6.0m，K&gt;1×10</w:t>
                  </w:r>
                  <w:r>
                    <w:rPr>
                      <w:rFonts w:hint="eastAsia" w:eastAsia="宋体"/>
                      <w:color w:val="auto"/>
                      <w:szCs w:val="21"/>
                      <w:vertAlign w:val="superscript"/>
                    </w:rPr>
                    <w:t>-7</w:t>
                  </w:r>
                  <w:r>
                    <w:rPr>
                      <w:rFonts w:hint="eastAsia" w:eastAsia="宋体"/>
                      <w:color w:val="auto"/>
                      <w:szCs w:val="21"/>
                    </w:rPr>
                    <w:t>cm/s或2mm厚高密度聚乙烯，或至少2mm厚的其他人工材料，K≤1×10</w:t>
                  </w:r>
                  <w:r>
                    <w:rPr>
                      <w:rFonts w:hint="eastAsia" w:eastAsia="宋体"/>
                      <w:color w:val="auto"/>
                      <w:szCs w:val="21"/>
                      <w:vertAlign w:val="superscript"/>
                    </w:rPr>
                    <w:t>-10</w:t>
                  </w:r>
                  <w:r>
                    <w:rPr>
                      <w:rFonts w:hint="eastAsia" w:eastAsia="宋体"/>
                      <w:color w:val="auto"/>
                      <w:szCs w:val="21"/>
                    </w:rPr>
                    <w:t>cm/s。液态危废采用专用容器收集，下设金属托盘，并设置备用收集空桶，危险废物贮存点四周设置防泄漏围堰（高度不低于15cm）。</w:t>
                  </w:r>
                </w:p>
                <w:p>
                  <w:pPr>
                    <w:pStyle w:val="100"/>
                    <w:jc w:val="both"/>
                    <w:rPr>
                      <w:rFonts w:eastAsia="宋体"/>
                      <w:color w:val="auto"/>
                      <w:szCs w:val="21"/>
                    </w:rPr>
                  </w:pPr>
                  <w:r>
                    <w:rPr>
                      <w:rFonts w:hint="eastAsia" w:eastAsia="宋体"/>
                      <w:color w:val="auto"/>
                      <w:szCs w:val="21"/>
                    </w:rPr>
                    <w:t>贮存点应设置固定的区域边界，采取与其他区域进行隔离的措施。贮存点贮存的危险废物应置于容器或包装物中，不应直接散堆。</w:t>
                  </w:r>
                </w:p>
              </w:tc>
              <w:tc>
                <w:tcPr>
                  <w:tcW w:w="606" w:type="pct"/>
                  <w:vAlign w:val="center"/>
                </w:tcPr>
                <w:p>
                  <w:pPr>
                    <w:pStyle w:val="48"/>
                    <w:rPr>
                      <w:sz w:val="21"/>
                      <w:szCs w:val="21"/>
                    </w:rPr>
                  </w:pPr>
                  <w:r>
                    <w:rPr>
                      <w:rFonts w:hint="eastAsia"/>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0" w:hRule="atLeast"/>
                <w:jc w:val="center"/>
              </w:trPr>
              <w:tc>
                <w:tcPr>
                  <w:tcW w:w="468" w:type="pct"/>
                  <w:vMerge w:val="restart"/>
                  <w:vAlign w:val="center"/>
                </w:tcPr>
                <w:p>
                  <w:pPr>
                    <w:pStyle w:val="48"/>
                    <w:rPr>
                      <w:sz w:val="21"/>
                      <w:szCs w:val="21"/>
                    </w:rPr>
                  </w:pPr>
                  <w:r>
                    <w:rPr>
                      <w:sz w:val="21"/>
                      <w:szCs w:val="21"/>
                    </w:rPr>
                    <w:t>公用工程</w:t>
                  </w:r>
                </w:p>
              </w:tc>
              <w:tc>
                <w:tcPr>
                  <w:tcW w:w="697" w:type="pct"/>
                  <w:vAlign w:val="center"/>
                </w:tcPr>
                <w:p>
                  <w:pPr>
                    <w:pStyle w:val="100"/>
                    <w:rPr>
                      <w:rFonts w:eastAsia="宋体"/>
                      <w:color w:val="auto"/>
                    </w:rPr>
                  </w:pPr>
                  <w:r>
                    <w:rPr>
                      <w:rFonts w:hint="eastAsia" w:eastAsia="宋体"/>
                      <w:color w:val="auto"/>
                    </w:rPr>
                    <w:t>供水</w:t>
                  </w:r>
                </w:p>
              </w:tc>
              <w:tc>
                <w:tcPr>
                  <w:tcW w:w="3229" w:type="pct"/>
                  <w:vAlign w:val="center"/>
                </w:tcPr>
                <w:p>
                  <w:pPr>
                    <w:pStyle w:val="100"/>
                    <w:jc w:val="both"/>
                    <w:rPr>
                      <w:rFonts w:eastAsia="宋体"/>
                      <w:color w:val="auto"/>
                    </w:rPr>
                  </w:pPr>
                  <w:r>
                    <w:rPr>
                      <w:rFonts w:hint="eastAsia" w:eastAsia="宋体"/>
                      <w:color w:val="auto"/>
                    </w:rPr>
                    <w:t>本项目生产用水由现有水井提供；生活饮用水使用桶装水。</w:t>
                  </w:r>
                </w:p>
              </w:tc>
              <w:tc>
                <w:tcPr>
                  <w:tcW w:w="606" w:type="pct"/>
                  <w:vAlign w:val="center"/>
                </w:tcPr>
                <w:p>
                  <w:pPr>
                    <w:pStyle w:val="48"/>
                    <w:rPr>
                      <w:sz w:val="21"/>
                      <w:szCs w:val="21"/>
                    </w:rPr>
                  </w:pPr>
                  <w:r>
                    <w:rPr>
                      <w:sz w:val="21"/>
                      <w:szCs w:val="21"/>
                    </w:rPr>
                    <w:t>依托</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3" w:hRule="atLeast"/>
                <w:jc w:val="center"/>
              </w:trPr>
              <w:tc>
                <w:tcPr>
                  <w:tcW w:w="468" w:type="pct"/>
                  <w:vMerge w:val="continue"/>
                  <w:vAlign w:val="center"/>
                </w:tcPr>
                <w:p>
                  <w:pPr>
                    <w:pStyle w:val="48"/>
                    <w:rPr>
                      <w:sz w:val="21"/>
                      <w:szCs w:val="21"/>
                    </w:rPr>
                  </w:pPr>
                </w:p>
              </w:tc>
              <w:tc>
                <w:tcPr>
                  <w:tcW w:w="697" w:type="pct"/>
                  <w:vAlign w:val="center"/>
                </w:tcPr>
                <w:p>
                  <w:pPr>
                    <w:pStyle w:val="100"/>
                    <w:rPr>
                      <w:color w:val="auto"/>
                      <w:szCs w:val="21"/>
                    </w:rPr>
                  </w:pPr>
                  <w:r>
                    <w:rPr>
                      <w:rFonts w:eastAsia="宋体"/>
                      <w:color w:val="auto"/>
                    </w:rPr>
                    <w:t>排水</w:t>
                  </w:r>
                </w:p>
              </w:tc>
              <w:tc>
                <w:tcPr>
                  <w:tcW w:w="3229" w:type="pct"/>
                  <w:vAlign w:val="center"/>
                </w:tcPr>
                <w:p>
                  <w:pPr>
                    <w:pStyle w:val="100"/>
                    <w:jc w:val="both"/>
                    <w:rPr>
                      <w:rFonts w:eastAsia="宋体"/>
                      <w:color w:val="auto"/>
                    </w:rPr>
                  </w:pPr>
                  <w:r>
                    <w:rPr>
                      <w:rFonts w:hint="eastAsia" w:eastAsia="宋体"/>
                      <w:color w:val="auto"/>
                    </w:rPr>
                    <w:t>本项目废水主要为生活污水、洗煤废水、车间地面冲洗废水、压滤机清洗废水、车辆冲洗废水和初期雨水。</w:t>
                  </w:r>
                </w:p>
                <w:p>
                  <w:pPr>
                    <w:pStyle w:val="100"/>
                    <w:jc w:val="both"/>
                    <w:rPr>
                      <w:rFonts w:eastAsia="宋体"/>
                      <w:color w:val="auto"/>
                    </w:rPr>
                  </w:pPr>
                  <w:r>
                    <w:rPr>
                      <w:rFonts w:hint="eastAsia" w:eastAsia="宋体"/>
                      <w:color w:val="auto"/>
                    </w:rPr>
                    <w:t>①生活污水：排入厂区防渗早厕，定期清掏，外运堆肥，不外排；</w:t>
                  </w:r>
                </w:p>
                <w:p>
                  <w:pPr>
                    <w:pStyle w:val="100"/>
                    <w:jc w:val="both"/>
                    <w:rPr>
                      <w:rFonts w:eastAsia="宋体"/>
                      <w:color w:val="auto"/>
                    </w:rPr>
                  </w:pPr>
                  <w:r>
                    <w:rPr>
                      <w:rFonts w:hint="eastAsia" w:eastAsia="宋体"/>
                      <w:color w:val="auto"/>
                    </w:rPr>
                    <w:t>②洗煤废水：排入循环沉淀池，经浓缩机处理后回用于生产，不外排。</w:t>
                  </w:r>
                </w:p>
                <w:p>
                  <w:pPr>
                    <w:pStyle w:val="100"/>
                    <w:jc w:val="both"/>
                    <w:rPr>
                      <w:rFonts w:eastAsia="宋体"/>
                      <w:color w:val="auto"/>
                    </w:rPr>
                  </w:pPr>
                  <w:r>
                    <w:rPr>
                      <w:rFonts w:hint="eastAsia" w:eastAsia="宋体"/>
                      <w:color w:val="auto"/>
                    </w:rPr>
                    <w:t>③压滤机清洗废水排入循环沉淀池，经浓缩机处理后回用于生产，不外排。</w:t>
                  </w:r>
                </w:p>
                <w:p>
                  <w:pPr>
                    <w:pStyle w:val="100"/>
                    <w:jc w:val="both"/>
                    <w:rPr>
                      <w:rFonts w:eastAsia="宋体"/>
                      <w:color w:val="auto"/>
                    </w:rPr>
                  </w:pPr>
                  <w:r>
                    <w:rPr>
                      <w:rFonts w:hint="eastAsia" w:eastAsia="宋体"/>
                      <w:color w:val="auto"/>
                    </w:rPr>
                    <w:t>④车间地面冲洗废水排入循环沉淀池，经浓缩机处理后回用于生产，不外排。</w:t>
                  </w:r>
                </w:p>
                <w:p>
                  <w:pPr>
                    <w:pStyle w:val="100"/>
                    <w:jc w:val="both"/>
                    <w:rPr>
                      <w:rFonts w:eastAsia="宋体"/>
                      <w:color w:val="auto"/>
                    </w:rPr>
                  </w:pPr>
                  <w:r>
                    <w:rPr>
                      <w:rFonts w:hint="eastAsia" w:eastAsia="宋体"/>
                      <w:color w:val="auto"/>
                    </w:rPr>
                    <w:t>⑤车辆冲洗废水通过排水管道排入循环沉淀池，经浓缩机处理后回用于生产，不外排。</w:t>
                  </w:r>
                </w:p>
                <w:p>
                  <w:pPr>
                    <w:pStyle w:val="100"/>
                    <w:jc w:val="both"/>
                    <w:rPr>
                      <w:rFonts w:eastAsia="宋体"/>
                      <w:color w:val="auto"/>
                    </w:rPr>
                  </w:pPr>
                  <w:r>
                    <w:rPr>
                      <w:rFonts w:hint="eastAsia" w:eastAsia="宋体"/>
                      <w:color w:val="auto"/>
                    </w:rPr>
                    <w:t>⑥收集后的雨水导入700m</w:t>
                  </w:r>
                  <w:r>
                    <w:rPr>
                      <w:rFonts w:hint="eastAsia" w:eastAsia="宋体"/>
                      <w:color w:val="auto"/>
                      <w:vertAlign w:val="superscript"/>
                    </w:rPr>
                    <w:t>3</w:t>
                  </w:r>
                  <w:r>
                    <w:rPr>
                      <w:rFonts w:hint="eastAsia" w:eastAsia="宋体"/>
                      <w:color w:val="auto"/>
                    </w:rPr>
                    <w:t>初期雨水收集池，沉淀后用于厂区洒水抑尘。（本项目矸石为暂存，随产随运，不会产生的大量溶淋液，主要为雨水冲刷产生的溶淋液（以初期雨水计）。</w:t>
                  </w:r>
                </w:p>
              </w:tc>
              <w:tc>
                <w:tcPr>
                  <w:tcW w:w="606" w:type="pct"/>
                  <w:vAlign w:val="center"/>
                </w:tcPr>
                <w:p>
                  <w:pPr>
                    <w:pStyle w:val="48"/>
                    <w:rPr>
                      <w:sz w:val="21"/>
                      <w:szCs w:val="21"/>
                    </w:rPr>
                  </w:pPr>
                  <w:r>
                    <w:rPr>
                      <w:rFonts w:hint="eastAsia"/>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468" w:type="pct"/>
                  <w:vMerge w:val="continue"/>
                  <w:vAlign w:val="center"/>
                </w:tcPr>
                <w:p>
                  <w:pPr>
                    <w:pStyle w:val="48"/>
                    <w:rPr>
                      <w:sz w:val="21"/>
                      <w:szCs w:val="21"/>
                    </w:rPr>
                  </w:pPr>
                </w:p>
              </w:tc>
              <w:tc>
                <w:tcPr>
                  <w:tcW w:w="697" w:type="pct"/>
                  <w:vAlign w:val="center"/>
                </w:tcPr>
                <w:p>
                  <w:pPr>
                    <w:pStyle w:val="48"/>
                    <w:rPr>
                      <w:sz w:val="21"/>
                      <w:szCs w:val="21"/>
                    </w:rPr>
                  </w:pPr>
                  <w:r>
                    <w:rPr>
                      <w:sz w:val="21"/>
                      <w:szCs w:val="21"/>
                    </w:rPr>
                    <w:t>供电</w:t>
                  </w:r>
                </w:p>
              </w:tc>
              <w:tc>
                <w:tcPr>
                  <w:tcW w:w="3229" w:type="pct"/>
                  <w:vAlign w:val="center"/>
                </w:tcPr>
                <w:p>
                  <w:pPr>
                    <w:pStyle w:val="48"/>
                    <w:jc w:val="both"/>
                    <w:rPr>
                      <w:sz w:val="21"/>
                      <w:szCs w:val="21"/>
                    </w:rPr>
                  </w:pPr>
                  <w:r>
                    <w:rPr>
                      <w:sz w:val="21"/>
                      <w:szCs w:val="21"/>
                    </w:rPr>
                    <w:t>本项目用电由当地电网供给。</w:t>
                  </w:r>
                </w:p>
              </w:tc>
              <w:tc>
                <w:tcPr>
                  <w:tcW w:w="606" w:type="pct"/>
                  <w:vAlign w:val="center"/>
                </w:tcPr>
                <w:p>
                  <w:pPr>
                    <w:pStyle w:val="48"/>
                    <w:rPr>
                      <w:sz w:val="21"/>
                      <w:szCs w:val="21"/>
                    </w:rPr>
                  </w:pPr>
                  <w:r>
                    <w:rPr>
                      <w:sz w:val="21"/>
                      <w:szCs w:val="21"/>
                    </w:rPr>
                    <w:t>依托</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468" w:type="pct"/>
                  <w:vMerge w:val="continue"/>
                  <w:vAlign w:val="center"/>
                </w:tcPr>
                <w:p>
                  <w:pPr>
                    <w:pStyle w:val="48"/>
                    <w:rPr>
                      <w:sz w:val="21"/>
                      <w:szCs w:val="21"/>
                    </w:rPr>
                  </w:pPr>
                </w:p>
              </w:tc>
              <w:tc>
                <w:tcPr>
                  <w:tcW w:w="697" w:type="pct"/>
                  <w:vAlign w:val="center"/>
                </w:tcPr>
                <w:p>
                  <w:pPr>
                    <w:pStyle w:val="48"/>
                    <w:rPr>
                      <w:sz w:val="21"/>
                      <w:szCs w:val="21"/>
                    </w:rPr>
                  </w:pPr>
                  <w:r>
                    <w:rPr>
                      <w:sz w:val="21"/>
                      <w:szCs w:val="21"/>
                    </w:rPr>
                    <w:t>供热</w:t>
                  </w:r>
                </w:p>
              </w:tc>
              <w:tc>
                <w:tcPr>
                  <w:tcW w:w="3229" w:type="pct"/>
                  <w:vAlign w:val="center"/>
                </w:tcPr>
                <w:p>
                  <w:pPr>
                    <w:pStyle w:val="48"/>
                    <w:jc w:val="both"/>
                    <w:rPr>
                      <w:sz w:val="21"/>
                      <w:szCs w:val="21"/>
                    </w:rPr>
                  </w:pPr>
                  <w:r>
                    <w:rPr>
                      <w:rFonts w:hint="eastAsia"/>
                      <w:sz w:val="21"/>
                      <w:szCs w:val="21"/>
                    </w:rPr>
                    <w:t>本项目无需生产用热，冬季办公室和生产车间采用电取暖。</w:t>
                  </w:r>
                </w:p>
              </w:tc>
              <w:tc>
                <w:tcPr>
                  <w:tcW w:w="606" w:type="pct"/>
                  <w:vAlign w:val="center"/>
                </w:tcPr>
                <w:p>
                  <w:pPr>
                    <w:pStyle w:val="48"/>
                    <w:rPr>
                      <w:sz w:val="21"/>
                      <w:szCs w:val="21"/>
                    </w:rPr>
                  </w:pPr>
                  <w:r>
                    <w:rPr>
                      <w:sz w:val="21"/>
                      <w:szCs w:val="21"/>
                    </w:rPr>
                    <w:t>依托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4" w:hRule="atLeast"/>
                <w:jc w:val="center"/>
              </w:trPr>
              <w:tc>
                <w:tcPr>
                  <w:tcW w:w="468" w:type="pct"/>
                  <w:vMerge w:val="restart"/>
                  <w:tcBorders>
                    <w:right w:val="single" w:color="auto" w:sz="6" w:space="0"/>
                  </w:tcBorders>
                  <w:vAlign w:val="center"/>
                </w:tcPr>
                <w:p>
                  <w:pPr>
                    <w:pStyle w:val="48"/>
                    <w:rPr>
                      <w:sz w:val="21"/>
                      <w:szCs w:val="21"/>
                    </w:rPr>
                  </w:pPr>
                  <w:r>
                    <w:rPr>
                      <w:sz w:val="21"/>
                      <w:szCs w:val="21"/>
                    </w:rPr>
                    <w:t>环保工程</w:t>
                  </w:r>
                </w:p>
              </w:tc>
              <w:tc>
                <w:tcPr>
                  <w:tcW w:w="697" w:type="pct"/>
                  <w:tcBorders>
                    <w:left w:val="single" w:color="auto" w:sz="6" w:space="0"/>
                    <w:right w:val="single" w:color="auto" w:sz="6" w:space="0"/>
                  </w:tcBorders>
                  <w:vAlign w:val="center"/>
                </w:tcPr>
                <w:p>
                  <w:pPr>
                    <w:pStyle w:val="48"/>
                    <w:rPr>
                      <w:sz w:val="21"/>
                      <w:szCs w:val="21"/>
                    </w:rPr>
                  </w:pPr>
                  <w:r>
                    <w:rPr>
                      <w:sz w:val="21"/>
                      <w:szCs w:val="21"/>
                    </w:rPr>
                    <w:t>废气</w:t>
                  </w:r>
                </w:p>
              </w:tc>
              <w:tc>
                <w:tcPr>
                  <w:tcW w:w="3229" w:type="pct"/>
                  <w:tcBorders>
                    <w:left w:val="single" w:color="auto" w:sz="6" w:space="0"/>
                    <w:right w:val="single" w:color="auto" w:sz="6" w:space="0"/>
                  </w:tcBorders>
                  <w:vAlign w:val="center"/>
                </w:tcPr>
                <w:p>
                  <w:pPr>
                    <w:pStyle w:val="48"/>
                    <w:jc w:val="both"/>
                    <w:rPr>
                      <w:sz w:val="21"/>
                      <w:szCs w:val="21"/>
                    </w:rPr>
                  </w:pPr>
                  <w:r>
                    <w:rPr>
                      <w:rFonts w:hint="eastAsia"/>
                      <w:sz w:val="21"/>
                      <w:szCs w:val="21"/>
                    </w:rPr>
                    <w:t>本项目的废气主要是物料堆放、装卸粉尘，原料运输和转运扬尘，道路运输扬尘。</w:t>
                  </w:r>
                </w:p>
                <w:p>
                  <w:pPr>
                    <w:rPr>
                      <w:rStyle w:val="59"/>
                    </w:rPr>
                  </w:pPr>
                  <w:r>
                    <w:rPr>
                      <w:rFonts w:hint="eastAsia"/>
                      <w:szCs w:val="21"/>
                    </w:rPr>
                    <w:t>①物料堆放粉尘：</w:t>
                  </w:r>
                  <w:r>
                    <w:rPr>
                      <w:rStyle w:val="59"/>
                      <w:rFonts w:hint="eastAsia"/>
                    </w:rPr>
                    <w:t>项目原料经汽车运至厂区，经铲车卸至原煤堆放库，中煤、矸石等经铲车运输存放在中煤及矸石堆放库，物料堆放、装卸等过程中会产生粉尘。</w:t>
                  </w:r>
                </w:p>
                <w:p>
                  <w:pPr>
                    <w:rPr>
                      <w:szCs w:val="21"/>
                    </w:rPr>
                  </w:pPr>
                  <w:r>
                    <w:rPr>
                      <w:rStyle w:val="59"/>
                      <w:rFonts w:hint="eastAsia"/>
                    </w:rPr>
                    <w:t>本项目原煤堆放库、中煤堆放库、矸石堆放库为钢结构全封闭厂房、通过对场地硬化、设置喷淋设施等，并定期打扫车间地面，保持地面清洁，无组织粉尘排放量较少。无组织粉尘排放浓度满足《煤炭工业污染物排放标准》（GB20426-2006）表5煤炭工业无组织排放限值</w:t>
                  </w:r>
                  <w:r>
                    <w:rPr>
                      <w:rFonts w:hint="eastAsia"/>
                      <w:szCs w:val="21"/>
                    </w:rPr>
                    <w:t>。</w:t>
                  </w:r>
                </w:p>
                <w:p>
                  <w:pPr>
                    <w:pStyle w:val="48"/>
                    <w:jc w:val="both"/>
                    <w:rPr>
                      <w:sz w:val="21"/>
                      <w:szCs w:val="21"/>
                    </w:rPr>
                  </w:pPr>
                  <w:r>
                    <w:rPr>
                      <w:rFonts w:hint="eastAsia"/>
                      <w:sz w:val="21"/>
                      <w:szCs w:val="21"/>
                    </w:rPr>
                    <w:t>②原料运输和转运扬尘：运输和转运工段采用苫布覆盖、限速、转运点设置洒水喷淋等降尘措施，同时减小输送高度，并对厂区地面进行硬化，无组织粉尘排放浓度满足《煤炭工业污染物排放标准》（GB20426-2006）表5煤炭工业无组织排放限值。</w:t>
                  </w:r>
                </w:p>
                <w:p>
                  <w:pPr>
                    <w:pStyle w:val="48"/>
                    <w:jc w:val="both"/>
                    <w:rPr>
                      <w:sz w:val="21"/>
                      <w:szCs w:val="21"/>
                    </w:rPr>
                  </w:pPr>
                  <w:r>
                    <w:rPr>
                      <w:rFonts w:hint="eastAsia"/>
                      <w:sz w:val="21"/>
                      <w:szCs w:val="21"/>
                    </w:rPr>
                    <w:t>③道路运输扬尘：运输车辆在厂外道路行驶过程中采取加盖苫布、洒水降尘、控制车速经过敏感地段时减速慢行，同时对厂区地面进行硬化，企业加强管理，无组织粉尘排放浓度满足《煤炭工业污染物排放标准》（GB20426-2006）表5煤炭工业无组织排放限值。</w:t>
                  </w:r>
                </w:p>
              </w:tc>
              <w:tc>
                <w:tcPr>
                  <w:tcW w:w="606" w:type="pct"/>
                  <w:tcBorders>
                    <w:left w:val="single" w:color="auto" w:sz="6" w:space="0"/>
                  </w:tcBorders>
                  <w:vAlign w:val="center"/>
                </w:tcPr>
                <w:p>
                  <w:pPr>
                    <w:pStyle w:val="48"/>
                    <w:rPr>
                      <w:sz w:val="21"/>
                      <w:szCs w:val="21"/>
                    </w:rPr>
                  </w:pPr>
                  <w:r>
                    <w:rPr>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468" w:type="pct"/>
                  <w:vMerge w:val="continue"/>
                  <w:tcBorders>
                    <w:right w:val="single" w:color="auto" w:sz="6" w:space="0"/>
                  </w:tcBorders>
                  <w:vAlign w:val="center"/>
                </w:tcPr>
                <w:p>
                  <w:pPr>
                    <w:pStyle w:val="48"/>
                    <w:rPr>
                      <w:sz w:val="21"/>
                      <w:szCs w:val="21"/>
                    </w:rPr>
                  </w:pPr>
                </w:p>
              </w:tc>
              <w:tc>
                <w:tcPr>
                  <w:tcW w:w="697" w:type="pct"/>
                  <w:tcBorders>
                    <w:left w:val="single" w:color="auto" w:sz="6" w:space="0"/>
                  </w:tcBorders>
                  <w:vAlign w:val="center"/>
                </w:tcPr>
                <w:p>
                  <w:pPr>
                    <w:pStyle w:val="48"/>
                    <w:rPr>
                      <w:sz w:val="21"/>
                      <w:szCs w:val="21"/>
                    </w:rPr>
                  </w:pPr>
                  <w:r>
                    <w:rPr>
                      <w:sz w:val="21"/>
                      <w:szCs w:val="21"/>
                    </w:rPr>
                    <w:t>废水</w:t>
                  </w:r>
                </w:p>
              </w:tc>
              <w:tc>
                <w:tcPr>
                  <w:tcW w:w="3229" w:type="pct"/>
                  <w:vAlign w:val="center"/>
                </w:tcPr>
                <w:p>
                  <w:pPr>
                    <w:pStyle w:val="48"/>
                    <w:jc w:val="both"/>
                    <w:rPr>
                      <w:sz w:val="21"/>
                      <w:szCs w:val="21"/>
                    </w:rPr>
                  </w:pPr>
                  <w:r>
                    <w:rPr>
                      <w:rFonts w:hint="eastAsia"/>
                      <w:sz w:val="21"/>
                      <w:szCs w:val="21"/>
                    </w:rPr>
                    <w:t>本项目废水主要为生活污水、洗煤废水、车间地面冲洗废水、压滤机清洗废水、车辆冲洗废水和初期雨水。</w:t>
                  </w:r>
                </w:p>
                <w:p>
                  <w:pPr>
                    <w:pStyle w:val="48"/>
                    <w:jc w:val="both"/>
                    <w:rPr>
                      <w:sz w:val="21"/>
                      <w:szCs w:val="21"/>
                    </w:rPr>
                  </w:pPr>
                  <w:r>
                    <w:rPr>
                      <w:rFonts w:hint="eastAsia"/>
                      <w:sz w:val="21"/>
                      <w:szCs w:val="21"/>
                    </w:rPr>
                    <w:t>①生活污水排入厂区防渗早厕，定期清掏，外运堆肥，不外排；</w:t>
                  </w:r>
                </w:p>
                <w:p>
                  <w:pPr>
                    <w:pStyle w:val="48"/>
                    <w:jc w:val="both"/>
                    <w:rPr>
                      <w:sz w:val="21"/>
                      <w:szCs w:val="21"/>
                    </w:rPr>
                  </w:pPr>
                  <w:r>
                    <w:rPr>
                      <w:rFonts w:hint="eastAsia"/>
                      <w:sz w:val="21"/>
                      <w:szCs w:val="21"/>
                    </w:rPr>
                    <w:t>②洗煤废水排入循环沉淀池，经浓缩机处理后回用于生产，不外排；</w:t>
                  </w:r>
                </w:p>
                <w:p>
                  <w:pPr>
                    <w:pStyle w:val="48"/>
                    <w:jc w:val="both"/>
                    <w:rPr>
                      <w:sz w:val="21"/>
                      <w:szCs w:val="21"/>
                    </w:rPr>
                  </w:pPr>
                  <w:r>
                    <w:rPr>
                      <w:rFonts w:hint="eastAsia"/>
                      <w:sz w:val="21"/>
                      <w:szCs w:val="21"/>
                    </w:rPr>
                    <w:t>③压滤机清洗废水排入循环沉淀池，经浓缩机处理后回用于生产，不外排；</w:t>
                  </w:r>
                </w:p>
                <w:p>
                  <w:pPr>
                    <w:pStyle w:val="48"/>
                    <w:jc w:val="both"/>
                    <w:rPr>
                      <w:sz w:val="21"/>
                      <w:szCs w:val="21"/>
                    </w:rPr>
                  </w:pPr>
                  <w:r>
                    <w:rPr>
                      <w:rFonts w:hint="eastAsia"/>
                      <w:sz w:val="21"/>
                      <w:szCs w:val="21"/>
                    </w:rPr>
                    <w:t>④车间地面冲洗废水排入循环沉淀池，经浓缩机处理后回用于生产，不外排；</w:t>
                  </w:r>
                </w:p>
                <w:p>
                  <w:pPr>
                    <w:pStyle w:val="48"/>
                    <w:jc w:val="both"/>
                    <w:rPr>
                      <w:sz w:val="21"/>
                      <w:szCs w:val="21"/>
                    </w:rPr>
                  </w:pPr>
                  <w:r>
                    <w:rPr>
                      <w:rFonts w:hint="eastAsia"/>
                      <w:sz w:val="21"/>
                      <w:szCs w:val="21"/>
                    </w:rPr>
                    <w:t>⑤车辆冲洗废水通过排水管道排入循环沉淀池，经浓缩机处理后回用于生产，不外排。</w:t>
                  </w:r>
                </w:p>
                <w:p>
                  <w:pPr>
                    <w:pStyle w:val="48"/>
                    <w:jc w:val="both"/>
                    <w:rPr>
                      <w:sz w:val="21"/>
                      <w:szCs w:val="21"/>
                    </w:rPr>
                  </w:pPr>
                  <w:r>
                    <w:rPr>
                      <w:rFonts w:hint="eastAsia"/>
                      <w:sz w:val="21"/>
                      <w:szCs w:val="21"/>
                    </w:rPr>
                    <w:t>⑥收集后的雨水导入700m</w:t>
                  </w:r>
                  <w:r>
                    <w:rPr>
                      <w:rFonts w:hint="eastAsia"/>
                      <w:sz w:val="21"/>
                      <w:szCs w:val="21"/>
                      <w:vertAlign w:val="superscript"/>
                    </w:rPr>
                    <w:t>3</w:t>
                  </w:r>
                  <w:r>
                    <w:rPr>
                      <w:rFonts w:hint="eastAsia"/>
                      <w:sz w:val="21"/>
                      <w:szCs w:val="21"/>
                    </w:rPr>
                    <w:t>初期雨水收集池，沉淀后用于厂区洒水抑尘。（本项目矸石为暂存，随产随运，不会产生的大量溶淋液，主要为雨水冲刷产生的溶淋液（以初期雨水计）。</w:t>
                  </w:r>
                </w:p>
              </w:tc>
              <w:tc>
                <w:tcPr>
                  <w:tcW w:w="606" w:type="pct"/>
                  <w:vAlign w:val="center"/>
                </w:tcPr>
                <w:p>
                  <w:pPr>
                    <w:pStyle w:val="48"/>
                    <w:rPr>
                      <w:sz w:val="21"/>
                      <w:szCs w:val="21"/>
                    </w:rPr>
                  </w:pPr>
                  <w:r>
                    <w:rPr>
                      <w:rFonts w:hint="eastAsia"/>
                      <w:sz w:val="21"/>
                      <w:szCs w:val="21"/>
                    </w:rPr>
                    <w:t>依托</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468" w:type="pct"/>
                  <w:vMerge w:val="continue"/>
                  <w:tcBorders>
                    <w:right w:val="single" w:color="auto" w:sz="6" w:space="0"/>
                  </w:tcBorders>
                  <w:vAlign w:val="center"/>
                </w:tcPr>
                <w:p>
                  <w:pPr>
                    <w:pStyle w:val="48"/>
                    <w:rPr>
                      <w:sz w:val="21"/>
                      <w:szCs w:val="21"/>
                    </w:rPr>
                  </w:pPr>
                </w:p>
              </w:tc>
              <w:tc>
                <w:tcPr>
                  <w:tcW w:w="697" w:type="pct"/>
                  <w:tcBorders>
                    <w:left w:val="single" w:color="auto" w:sz="6" w:space="0"/>
                  </w:tcBorders>
                  <w:vAlign w:val="center"/>
                </w:tcPr>
                <w:p>
                  <w:pPr>
                    <w:pStyle w:val="48"/>
                    <w:rPr>
                      <w:sz w:val="21"/>
                      <w:szCs w:val="21"/>
                    </w:rPr>
                  </w:pPr>
                  <w:r>
                    <w:rPr>
                      <w:sz w:val="21"/>
                      <w:szCs w:val="21"/>
                    </w:rPr>
                    <w:t>噪声</w:t>
                  </w:r>
                </w:p>
              </w:tc>
              <w:tc>
                <w:tcPr>
                  <w:tcW w:w="3229" w:type="pct"/>
                  <w:vAlign w:val="center"/>
                </w:tcPr>
                <w:p>
                  <w:pPr>
                    <w:pStyle w:val="48"/>
                    <w:jc w:val="both"/>
                    <w:rPr>
                      <w:sz w:val="21"/>
                      <w:szCs w:val="21"/>
                    </w:rPr>
                  </w:pPr>
                  <w:r>
                    <w:rPr>
                      <w:rFonts w:hint="eastAsia"/>
                      <w:sz w:val="21"/>
                      <w:szCs w:val="21"/>
                    </w:rPr>
                    <w:t>选用低噪声设备，设备均安置于车间内，建筑采取隔声、降噪措施，振动较大的设备采取独立基础设置减振器，风机进出口均设软管连接等措施，减少噪声对外环境的影响。严格落实环保措施后，本项目设备间外噪声、厂界噪声满足《工业企业厂界环境噪声排放标准》（GB12348-2008）表1中2类标准要求。</w:t>
                  </w:r>
                </w:p>
              </w:tc>
              <w:tc>
                <w:tcPr>
                  <w:tcW w:w="606" w:type="pct"/>
                  <w:vAlign w:val="center"/>
                </w:tcPr>
                <w:p>
                  <w:pPr>
                    <w:pStyle w:val="48"/>
                    <w:rPr>
                      <w:sz w:val="21"/>
                      <w:szCs w:val="21"/>
                    </w:rPr>
                  </w:pPr>
                  <w:r>
                    <w:rPr>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68" w:type="pct"/>
                  <w:vMerge w:val="continue"/>
                  <w:tcBorders>
                    <w:right w:val="single" w:color="auto" w:sz="6" w:space="0"/>
                  </w:tcBorders>
                  <w:vAlign w:val="center"/>
                </w:tcPr>
                <w:p>
                  <w:pPr>
                    <w:pStyle w:val="48"/>
                    <w:rPr>
                      <w:sz w:val="21"/>
                      <w:szCs w:val="21"/>
                    </w:rPr>
                  </w:pPr>
                </w:p>
              </w:tc>
              <w:tc>
                <w:tcPr>
                  <w:tcW w:w="697" w:type="pct"/>
                  <w:tcBorders>
                    <w:left w:val="single" w:color="auto" w:sz="6" w:space="0"/>
                    <w:right w:val="single" w:color="auto" w:sz="6" w:space="0"/>
                  </w:tcBorders>
                  <w:vAlign w:val="center"/>
                </w:tcPr>
                <w:p>
                  <w:pPr>
                    <w:pStyle w:val="48"/>
                    <w:rPr>
                      <w:sz w:val="21"/>
                      <w:szCs w:val="21"/>
                    </w:rPr>
                  </w:pPr>
                  <w:r>
                    <w:rPr>
                      <w:sz w:val="21"/>
                      <w:szCs w:val="21"/>
                    </w:rPr>
                    <w:t>固体废物</w:t>
                  </w:r>
                </w:p>
              </w:tc>
              <w:tc>
                <w:tcPr>
                  <w:tcW w:w="3229" w:type="pct"/>
                  <w:tcBorders>
                    <w:left w:val="single" w:color="auto" w:sz="6" w:space="0"/>
                    <w:right w:val="single" w:color="auto" w:sz="6" w:space="0"/>
                  </w:tcBorders>
                  <w:vAlign w:val="center"/>
                </w:tcPr>
                <w:p>
                  <w:pPr>
                    <w:pStyle w:val="48"/>
                    <w:jc w:val="both"/>
                    <w:rPr>
                      <w:sz w:val="21"/>
                      <w:szCs w:val="21"/>
                    </w:rPr>
                  </w:pPr>
                  <w:r>
                    <w:rPr>
                      <w:rFonts w:hint="eastAsia"/>
                      <w:sz w:val="21"/>
                      <w:szCs w:val="21"/>
                    </w:rPr>
                    <w:t>①生活垃圾：本项目职员生活垃圾集中收集，由市政部门统一处理。</w:t>
                  </w:r>
                </w:p>
                <w:p>
                  <w:pPr>
                    <w:pStyle w:val="48"/>
                    <w:jc w:val="both"/>
                    <w:rPr>
                      <w:sz w:val="21"/>
                      <w:szCs w:val="21"/>
                    </w:rPr>
                  </w:pPr>
                  <w:r>
                    <w:rPr>
                      <w:rFonts w:hint="eastAsia"/>
                      <w:sz w:val="21"/>
                      <w:szCs w:val="21"/>
                    </w:rPr>
                    <w:t>②矸石：在厂区矸石堆放库暂存，定期拉运外售给建筑材料生产单位回收进行综合利用。</w:t>
                  </w:r>
                </w:p>
                <w:p>
                  <w:pPr>
                    <w:pStyle w:val="48"/>
                    <w:jc w:val="both"/>
                    <w:rPr>
                      <w:sz w:val="21"/>
                      <w:szCs w:val="21"/>
                    </w:rPr>
                  </w:pPr>
                  <w:r>
                    <w:rPr>
                      <w:rFonts w:hint="eastAsia"/>
                      <w:sz w:val="21"/>
                      <w:szCs w:val="21"/>
                    </w:rPr>
                    <w:t>③废矿物油：本项目维修、养护设备产生的废矿物油桶装收集，暂存于危险废物贮存点，委托有资质单位处置。</w:t>
                  </w:r>
                </w:p>
                <w:p>
                  <w:pPr>
                    <w:pStyle w:val="48"/>
                    <w:jc w:val="both"/>
                    <w:rPr>
                      <w:sz w:val="21"/>
                      <w:szCs w:val="21"/>
                    </w:rPr>
                  </w:pPr>
                  <w:r>
                    <w:rPr>
                      <w:rFonts w:hint="eastAsia"/>
                      <w:sz w:val="21"/>
                      <w:szCs w:val="21"/>
                    </w:rPr>
                    <w:t>④废弃含油抹布、劳保用品：本项目维修、养护设备产生的废弃含油抹布及劳保用品，暂存于危险废物贮存点，委托有资质单位处置。</w:t>
                  </w:r>
                </w:p>
                <w:p>
                  <w:pPr>
                    <w:pStyle w:val="48"/>
                    <w:jc w:val="both"/>
                    <w:rPr>
                      <w:sz w:val="21"/>
                      <w:szCs w:val="21"/>
                    </w:rPr>
                  </w:pPr>
                  <w:r>
                    <w:rPr>
                      <w:rFonts w:hint="eastAsia"/>
                      <w:sz w:val="21"/>
                      <w:szCs w:val="21"/>
                    </w:rPr>
                    <w:t>⑤沉淀池、雨水收集池沉渣：沉渣回收晾干，集中收集后外售综合利用。</w:t>
                  </w:r>
                </w:p>
              </w:tc>
              <w:tc>
                <w:tcPr>
                  <w:tcW w:w="606" w:type="pct"/>
                  <w:tcBorders>
                    <w:left w:val="single" w:color="auto" w:sz="6" w:space="0"/>
                  </w:tcBorders>
                  <w:vAlign w:val="center"/>
                </w:tcPr>
                <w:p>
                  <w:pPr>
                    <w:pStyle w:val="48"/>
                    <w:rPr>
                      <w:sz w:val="21"/>
                      <w:szCs w:val="21"/>
                    </w:rPr>
                  </w:pPr>
                  <w:r>
                    <w:rPr>
                      <w:rFonts w:hint="eastAsia"/>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68" w:type="pct"/>
                  <w:vMerge w:val="continue"/>
                  <w:tcBorders>
                    <w:right w:val="single" w:color="auto" w:sz="6" w:space="0"/>
                  </w:tcBorders>
                  <w:vAlign w:val="center"/>
                </w:tcPr>
                <w:p>
                  <w:pPr>
                    <w:pStyle w:val="48"/>
                    <w:rPr>
                      <w:sz w:val="21"/>
                      <w:szCs w:val="21"/>
                    </w:rPr>
                  </w:pPr>
                </w:p>
              </w:tc>
              <w:tc>
                <w:tcPr>
                  <w:tcW w:w="697" w:type="pct"/>
                  <w:tcBorders>
                    <w:left w:val="single" w:color="auto" w:sz="6" w:space="0"/>
                    <w:right w:val="single" w:color="auto" w:sz="6" w:space="0"/>
                  </w:tcBorders>
                  <w:vAlign w:val="center"/>
                </w:tcPr>
                <w:p>
                  <w:pPr>
                    <w:pStyle w:val="48"/>
                    <w:rPr>
                      <w:sz w:val="21"/>
                      <w:szCs w:val="21"/>
                    </w:rPr>
                  </w:pPr>
                  <w:r>
                    <w:rPr>
                      <w:rFonts w:hint="eastAsia"/>
                      <w:sz w:val="21"/>
                      <w:szCs w:val="21"/>
                    </w:rPr>
                    <w:t>环境风险</w:t>
                  </w:r>
                </w:p>
              </w:tc>
              <w:tc>
                <w:tcPr>
                  <w:tcW w:w="3229" w:type="pct"/>
                  <w:tcBorders>
                    <w:left w:val="single" w:color="auto" w:sz="6" w:space="0"/>
                    <w:right w:val="single" w:color="auto" w:sz="6" w:space="0"/>
                  </w:tcBorders>
                  <w:vAlign w:val="center"/>
                </w:tcPr>
                <w:p>
                  <w:pPr>
                    <w:pStyle w:val="48"/>
                    <w:jc w:val="both"/>
                    <w:rPr>
                      <w:sz w:val="21"/>
                      <w:szCs w:val="21"/>
                    </w:rPr>
                  </w:pPr>
                  <w:r>
                    <w:rPr>
                      <w:rFonts w:hint="eastAsia"/>
                      <w:sz w:val="21"/>
                      <w:szCs w:val="21"/>
                    </w:rPr>
                    <w:t>①本项目物料堆放库为小型堆放库，周转周期较短，不长期堆存，且堆存量较小，可降低原煤及成品、矸石自燃现象发生的概率。</w:t>
                  </w:r>
                </w:p>
                <w:p>
                  <w:pPr>
                    <w:pStyle w:val="48"/>
                    <w:jc w:val="both"/>
                    <w:rPr>
                      <w:sz w:val="21"/>
                      <w:szCs w:val="21"/>
                    </w:rPr>
                  </w:pPr>
                  <w:r>
                    <w:rPr>
                      <w:rFonts w:hint="eastAsia"/>
                      <w:sz w:val="21"/>
                      <w:szCs w:val="21"/>
                    </w:rPr>
                    <w:t>②输送皮带及物料堆放库定期洒水，保持一定的湿度，可有效避免自燃现象的发生。</w:t>
                  </w:r>
                </w:p>
                <w:p>
                  <w:pPr>
                    <w:pStyle w:val="48"/>
                    <w:jc w:val="both"/>
                    <w:rPr>
                      <w:sz w:val="21"/>
                      <w:szCs w:val="21"/>
                    </w:rPr>
                  </w:pPr>
                  <w:r>
                    <w:rPr>
                      <w:rFonts w:hint="eastAsia"/>
                      <w:sz w:val="21"/>
                      <w:szCs w:val="21"/>
                    </w:rPr>
                    <w:t>③输煤皮带应定期进行轮换、试验，及时清除输煤皮带、辅助设备、电缆排架等各处的积煤和积粉，保证输煤系统无积煤和积粉，输送皮带应采用难燃胶带。</w:t>
                  </w:r>
                </w:p>
                <w:p>
                  <w:pPr>
                    <w:pStyle w:val="48"/>
                    <w:jc w:val="both"/>
                    <w:rPr>
                      <w:sz w:val="21"/>
                      <w:szCs w:val="21"/>
                    </w:rPr>
                  </w:pPr>
                  <w:r>
                    <w:rPr>
                      <w:rFonts w:hint="eastAsia"/>
                      <w:sz w:val="21"/>
                      <w:szCs w:val="21"/>
                    </w:rPr>
                    <w:t>④厂区内应处置消火栓系统和火灾报警系统，并配备相应的灭火装置等。</w:t>
                  </w:r>
                </w:p>
              </w:tc>
              <w:tc>
                <w:tcPr>
                  <w:tcW w:w="606" w:type="pct"/>
                  <w:tcBorders>
                    <w:left w:val="single" w:color="auto" w:sz="6" w:space="0"/>
                  </w:tcBorders>
                  <w:vAlign w:val="center"/>
                </w:tcPr>
                <w:p>
                  <w:pPr>
                    <w:pStyle w:val="48"/>
                    <w:rPr>
                      <w:sz w:val="21"/>
                      <w:szCs w:val="21"/>
                    </w:rPr>
                  </w:pPr>
                  <w:r>
                    <w:rPr>
                      <w:rFonts w:hint="eastAsia"/>
                      <w:sz w:val="21"/>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68" w:type="pct"/>
                  <w:vMerge w:val="continue"/>
                  <w:tcBorders>
                    <w:right w:val="single" w:color="auto" w:sz="6" w:space="0"/>
                  </w:tcBorders>
                  <w:vAlign w:val="center"/>
                </w:tcPr>
                <w:p>
                  <w:pPr>
                    <w:pStyle w:val="48"/>
                    <w:rPr>
                      <w:sz w:val="21"/>
                      <w:szCs w:val="21"/>
                    </w:rPr>
                  </w:pPr>
                </w:p>
              </w:tc>
              <w:tc>
                <w:tcPr>
                  <w:tcW w:w="697" w:type="pct"/>
                  <w:tcBorders>
                    <w:left w:val="single" w:color="auto" w:sz="6" w:space="0"/>
                    <w:right w:val="single" w:color="auto" w:sz="6" w:space="0"/>
                  </w:tcBorders>
                  <w:vAlign w:val="center"/>
                </w:tcPr>
                <w:p>
                  <w:pPr>
                    <w:pStyle w:val="48"/>
                    <w:rPr>
                      <w:sz w:val="21"/>
                      <w:szCs w:val="21"/>
                    </w:rPr>
                  </w:pPr>
                  <w:r>
                    <w:rPr>
                      <w:rFonts w:hint="eastAsia"/>
                      <w:sz w:val="21"/>
                      <w:szCs w:val="21"/>
                    </w:rPr>
                    <w:t>防渗措施</w:t>
                  </w:r>
                </w:p>
              </w:tc>
              <w:tc>
                <w:tcPr>
                  <w:tcW w:w="3229" w:type="pct"/>
                  <w:tcBorders>
                    <w:left w:val="single" w:color="auto" w:sz="6" w:space="0"/>
                    <w:right w:val="single" w:color="auto" w:sz="6" w:space="0"/>
                  </w:tcBorders>
                  <w:vAlign w:val="center"/>
                </w:tcPr>
                <w:p>
                  <w:pPr>
                    <w:pStyle w:val="48"/>
                    <w:jc w:val="both"/>
                    <w:rPr>
                      <w:sz w:val="21"/>
                      <w:szCs w:val="21"/>
                    </w:rPr>
                  </w:pPr>
                  <w:r>
                    <w:rPr>
                      <w:rFonts w:hint="eastAsia"/>
                      <w:sz w:val="21"/>
                      <w:szCs w:val="21"/>
                    </w:rPr>
                    <w:t>项目厂区采取“分区防渗”的原则，循环沉淀池、初期雨水收集池、煤泥暂存池、浓缩机和事故浓缩机所在位置车间地面为重点防渗区，原煤堆放库、中煤堆放库、矸石堆放库、车间地面为一般防渗区。综合用房为简单防渗区，进行一般地面硬化。</w:t>
                  </w:r>
                </w:p>
              </w:tc>
              <w:tc>
                <w:tcPr>
                  <w:tcW w:w="606" w:type="pct"/>
                  <w:tcBorders>
                    <w:left w:val="single" w:color="auto" w:sz="6" w:space="0"/>
                  </w:tcBorders>
                  <w:vAlign w:val="center"/>
                </w:tcPr>
                <w:p>
                  <w:pPr>
                    <w:pStyle w:val="48"/>
                    <w:rPr>
                      <w:sz w:val="21"/>
                      <w:szCs w:val="21"/>
                    </w:rPr>
                  </w:pPr>
                  <w:r>
                    <w:rPr>
                      <w:rFonts w:hint="eastAsia"/>
                      <w:sz w:val="21"/>
                      <w:szCs w:val="21"/>
                    </w:rPr>
                    <w:t>新建</w:t>
                  </w:r>
                </w:p>
              </w:tc>
            </w:tr>
          </w:tbl>
          <w:p>
            <w:pPr>
              <w:pStyle w:val="85"/>
              <w:ind w:firstLine="482"/>
              <w:rPr>
                <w:rFonts w:eastAsia="宋体"/>
              </w:rPr>
            </w:pPr>
            <w:r>
              <w:rPr>
                <w:rFonts w:eastAsia="宋体"/>
              </w:rPr>
              <w:t>三、产品方案</w:t>
            </w:r>
            <w:r>
              <w:rPr>
                <w:rFonts w:hint="eastAsia" w:eastAsia="宋体"/>
              </w:rPr>
              <w:t>及原辅材料</w:t>
            </w:r>
          </w:p>
          <w:p>
            <w:pPr>
              <w:pStyle w:val="46"/>
              <w:ind w:firstLine="480" w:firstLineChars="200"/>
              <w:jc w:val="left"/>
              <w:rPr>
                <w:rFonts w:eastAsia="宋体" w:cs="Times New Roman"/>
                <w:b w:val="0"/>
                <w:szCs w:val="24"/>
              </w:rPr>
            </w:pPr>
            <w:r>
              <w:rPr>
                <w:rFonts w:hint="eastAsia" w:eastAsia="宋体" w:cs="Times New Roman"/>
                <w:b w:val="0"/>
                <w:szCs w:val="24"/>
              </w:rPr>
              <w:t>本项目新增主要产品见下表。</w:t>
            </w:r>
          </w:p>
          <w:p>
            <w:pPr>
              <w:pStyle w:val="46"/>
              <w:rPr>
                <w:rFonts w:eastAsia="宋体" w:cs="Times New Roman"/>
              </w:rPr>
            </w:pPr>
            <w:r>
              <w:rPr>
                <w:rFonts w:eastAsia="宋体" w:cs="Times New Roman"/>
                <w:szCs w:val="24"/>
              </w:rPr>
              <w:t>表2-2</w:t>
            </w:r>
            <w:r>
              <w:rPr>
                <w:rFonts w:eastAsia="宋体" w:cs="Times New Roman"/>
              </w:rPr>
              <w:t xml:space="preserve"> 本项目主要</w:t>
            </w:r>
            <w:r>
              <w:rPr>
                <w:rFonts w:hint="eastAsia" w:eastAsia="宋体" w:cs="Times New Roman"/>
              </w:rPr>
              <w:t>产品一览</w:t>
            </w:r>
            <w:r>
              <w:rPr>
                <w:rFonts w:eastAsia="宋体" w:cs="Times New Roman"/>
              </w:rPr>
              <w:t>表</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0"/>
              <w:gridCol w:w="1405"/>
              <w:gridCol w:w="1278"/>
              <w:gridCol w:w="1422"/>
              <w:gridCol w:w="27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 w:hRule="atLeast"/>
              </w:trPr>
              <w:tc>
                <w:tcPr>
                  <w:tcW w:w="810" w:type="dxa"/>
                  <w:vAlign w:val="center"/>
                </w:tcPr>
                <w:p>
                  <w:pPr>
                    <w:adjustRightInd w:val="0"/>
                    <w:snapToGrid w:val="0"/>
                    <w:jc w:val="center"/>
                    <w:rPr>
                      <w:rFonts w:ascii="Times New Roman" w:hAnsi="Times New Roman"/>
                      <w:szCs w:val="21"/>
                    </w:rPr>
                  </w:pPr>
                  <w:r>
                    <w:rPr>
                      <w:rFonts w:hint="eastAsia" w:ascii="Times New Roman" w:hAnsi="Times New Roman"/>
                      <w:szCs w:val="21"/>
                    </w:rPr>
                    <w:t>序号</w:t>
                  </w:r>
                </w:p>
              </w:tc>
              <w:tc>
                <w:tcPr>
                  <w:tcW w:w="1405" w:type="dxa"/>
                  <w:vAlign w:val="center"/>
                </w:tcPr>
                <w:p>
                  <w:pPr>
                    <w:adjustRightInd w:val="0"/>
                    <w:snapToGrid w:val="0"/>
                    <w:jc w:val="center"/>
                    <w:rPr>
                      <w:rFonts w:ascii="Times New Roman" w:hAnsi="Times New Roman"/>
                      <w:szCs w:val="21"/>
                    </w:rPr>
                  </w:pPr>
                  <w:r>
                    <w:rPr>
                      <w:rFonts w:hint="eastAsia" w:ascii="Times New Roman" w:hAnsi="Times New Roman"/>
                      <w:szCs w:val="21"/>
                    </w:rPr>
                    <w:t>产品名称</w:t>
                  </w:r>
                </w:p>
              </w:tc>
              <w:tc>
                <w:tcPr>
                  <w:tcW w:w="1278" w:type="dxa"/>
                  <w:vAlign w:val="center"/>
                </w:tcPr>
                <w:p>
                  <w:pPr>
                    <w:adjustRightInd w:val="0"/>
                    <w:snapToGrid w:val="0"/>
                    <w:ind w:left="420" w:hanging="420"/>
                    <w:jc w:val="center"/>
                    <w:rPr>
                      <w:rFonts w:ascii="Calibri" w:hAnsi="Calibri"/>
                      <w:szCs w:val="21"/>
                    </w:rPr>
                  </w:pPr>
                  <w:r>
                    <w:rPr>
                      <w:rFonts w:hint="eastAsia" w:ascii="Calibri" w:hAnsi="Calibri"/>
                      <w:szCs w:val="21"/>
                    </w:rPr>
                    <w:t>产出率</w:t>
                  </w:r>
                </w:p>
              </w:tc>
              <w:tc>
                <w:tcPr>
                  <w:tcW w:w="1422" w:type="dxa"/>
                  <w:vAlign w:val="center"/>
                </w:tcPr>
                <w:p>
                  <w:pPr>
                    <w:adjustRightInd w:val="0"/>
                    <w:snapToGrid w:val="0"/>
                    <w:ind w:left="420" w:hanging="420"/>
                    <w:jc w:val="center"/>
                    <w:rPr>
                      <w:rFonts w:ascii="Times New Roman" w:hAnsi="Times New Roman"/>
                      <w:szCs w:val="21"/>
                    </w:rPr>
                  </w:pPr>
                  <w:r>
                    <w:rPr>
                      <w:rFonts w:hint="eastAsia" w:ascii="Times New Roman" w:hAnsi="Times New Roman"/>
                      <w:szCs w:val="21"/>
                    </w:rPr>
                    <w:t>年产量（t）</w:t>
                  </w:r>
                </w:p>
              </w:tc>
              <w:tc>
                <w:tcPr>
                  <w:tcW w:w="2770" w:type="dxa"/>
                  <w:vAlign w:val="center"/>
                </w:tcPr>
                <w:p>
                  <w:pPr>
                    <w:adjustRightInd w:val="0"/>
                    <w:snapToGrid w:val="0"/>
                    <w:ind w:left="420" w:hanging="420"/>
                    <w:jc w:val="center"/>
                    <w:rPr>
                      <w:rFonts w:ascii="Calibri" w:hAnsi="Calibri"/>
                      <w:szCs w:val="21"/>
                    </w:rPr>
                  </w:pPr>
                  <w:r>
                    <w:rPr>
                      <w:rFonts w:hint="eastAsia" w:ascii="Calibri" w:hAnsi="Calibri"/>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 w:hRule="atLeast"/>
              </w:trPr>
              <w:tc>
                <w:tcPr>
                  <w:tcW w:w="810" w:type="dxa"/>
                  <w:vAlign w:val="center"/>
                </w:tcPr>
                <w:p>
                  <w:pPr>
                    <w:adjustRightInd w:val="0"/>
                    <w:snapToGrid w:val="0"/>
                    <w:jc w:val="center"/>
                    <w:rPr>
                      <w:rFonts w:ascii="Times New Roman" w:hAnsi="Times New Roman"/>
                      <w:szCs w:val="21"/>
                    </w:rPr>
                  </w:pPr>
                  <w:r>
                    <w:rPr>
                      <w:rFonts w:hint="eastAsia" w:ascii="Times New Roman" w:hAnsi="Times New Roman"/>
                      <w:szCs w:val="21"/>
                    </w:rPr>
                    <w:t>1</w:t>
                  </w:r>
                </w:p>
              </w:tc>
              <w:tc>
                <w:tcPr>
                  <w:tcW w:w="1405" w:type="dxa"/>
                  <w:vAlign w:val="center"/>
                </w:tcPr>
                <w:p>
                  <w:pPr>
                    <w:adjustRightInd w:val="0"/>
                    <w:snapToGrid w:val="0"/>
                    <w:jc w:val="center"/>
                    <w:rPr>
                      <w:rFonts w:ascii="Times New Roman" w:hAnsi="Times New Roman"/>
                      <w:szCs w:val="21"/>
                    </w:rPr>
                  </w:pPr>
                  <w:r>
                    <w:rPr>
                      <w:rFonts w:hint="eastAsia" w:ascii="Times New Roman" w:hAnsi="Times New Roman"/>
                      <w:szCs w:val="21"/>
                    </w:rPr>
                    <w:t>精煤</w:t>
                  </w:r>
                </w:p>
              </w:tc>
              <w:tc>
                <w:tcPr>
                  <w:tcW w:w="1278" w:type="dxa"/>
                  <w:vAlign w:val="center"/>
                </w:tcPr>
                <w:p>
                  <w:pPr>
                    <w:adjustRightInd w:val="0"/>
                    <w:snapToGrid w:val="0"/>
                    <w:jc w:val="center"/>
                    <w:rPr>
                      <w:rFonts w:ascii="Times New Roman" w:hAnsi="Times New Roman"/>
                      <w:szCs w:val="21"/>
                    </w:rPr>
                  </w:pPr>
                  <w:r>
                    <w:rPr>
                      <w:rFonts w:hint="eastAsia" w:ascii="Times New Roman" w:hAnsi="Times New Roman"/>
                      <w:szCs w:val="21"/>
                    </w:rPr>
                    <w:t>55%</w:t>
                  </w:r>
                </w:p>
              </w:tc>
              <w:tc>
                <w:tcPr>
                  <w:tcW w:w="1422" w:type="dxa"/>
                  <w:vAlign w:val="center"/>
                </w:tcPr>
                <w:p>
                  <w:pPr>
                    <w:adjustRightInd w:val="0"/>
                    <w:snapToGrid w:val="0"/>
                    <w:jc w:val="center"/>
                    <w:rPr>
                      <w:rFonts w:ascii="Times New Roman" w:hAnsi="Times New Roman"/>
                      <w:szCs w:val="21"/>
                    </w:rPr>
                  </w:pPr>
                  <w:r>
                    <w:rPr>
                      <w:rFonts w:hint="eastAsia" w:ascii="Times New Roman" w:hAnsi="Times New Roman"/>
                      <w:szCs w:val="21"/>
                    </w:rPr>
                    <w:t>16.68万</w:t>
                  </w:r>
                </w:p>
              </w:tc>
              <w:tc>
                <w:tcPr>
                  <w:tcW w:w="2770" w:type="dxa"/>
                  <w:vAlign w:val="center"/>
                </w:tcPr>
                <w:p>
                  <w:pPr>
                    <w:adjustRightInd w:val="0"/>
                    <w:snapToGrid w:val="0"/>
                    <w:jc w:val="center"/>
                    <w:rPr>
                      <w:rFonts w:ascii="Times New Roman" w:hAnsi="Times New Roman"/>
                      <w:szCs w:val="21"/>
                    </w:rPr>
                  </w:pPr>
                  <w:r>
                    <w:rPr>
                      <w:rFonts w:hint="eastAsia" w:ascii="Times New Roman" w:hAnsi="Times New Roman"/>
                      <w:szCs w:val="21"/>
                    </w:rPr>
                    <w:t>热值约为</w:t>
                  </w:r>
                  <w:r>
                    <w:rPr>
                      <w:rFonts w:ascii="Times New Roman" w:hAnsi="Times New Roman"/>
                      <w:szCs w:val="21"/>
                    </w:rPr>
                    <w:t>7000</w:t>
                  </w:r>
                  <w:r>
                    <w:rPr>
                      <w:rFonts w:hint="eastAsia" w:ascii="Times New Roman" w:hAnsi="Times New Roman"/>
                      <w:szCs w:val="21"/>
                    </w:rPr>
                    <w:t>大卡，出厂时平均含水率约为10%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 w:hRule="atLeast"/>
              </w:trPr>
              <w:tc>
                <w:tcPr>
                  <w:tcW w:w="810" w:type="dxa"/>
                  <w:vAlign w:val="center"/>
                </w:tcPr>
                <w:p>
                  <w:pPr>
                    <w:adjustRightInd w:val="0"/>
                    <w:snapToGrid w:val="0"/>
                    <w:jc w:val="center"/>
                    <w:rPr>
                      <w:rFonts w:ascii="Times New Roman" w:hAnsi="Times New Roman"/>
                      <w:szCs w:val="21"/>
                    </w:rPr>
                  </w:pPr>
                  <w:r>
                    <w:rPr>
                      <w:rFonts w:hint="eastAsia" w:ascii="Times New Roman" w:hAnsi="Times New Roman"/>
                      <w:szCs w:val="21"/>
                    </w:rPr>
                    <w:t>2</w:t>
                  </w:r>
                </w:p>
              </w:tc>
              <w:tc>
                <w:tcPr>
                  <w:tcW w:w="1405" w:type="dxa"/>
                  <w:vAlign w:val="center"/>
                </w:tcPr>
                <w:p>
                  <w:pPr>
                    <w:adjustRightInd w:val="0"/>
                    <w:snapToGrid w:val="0"/>
                    <w:jc w:val="center"/>
                    <w:rPr>
                      <w:rFonts w:ascii="Times New Roman" w:hAnsi="Times New Roman"/>
                      <w:szCs w:val="21"/>
                    </w:rPr>
                  </w:pPr>
                  <w:r>
                    <w:rPr>
                      <w:rFonts w:hint="eastAsia" w:ascii="Times New Roman" w:hAnsi="Times New Roman"/>
                      <w:szCs w:val="21"/>
                    </w:rPr>
                    <w:t>中煤</w:t>
                  </w:r>
                </w:p>
              </w:tc>
              <w:tc>
                <w:tcPr>
                  <w:tcW w:w="1278" w:type="dxa"/>
                  <w:vAlign w:val="center"/>
                </w:tcPr>
                <w:p>
                  <w:pPr>
                    <w:adjustRightInd w:val="0"/>
                    <w:snapToGrid w:val="0"/>
                    <w:jc w:val="center"/>
                    <w:rPr>
                      <w:rFonts w:ascii="Times New Roman" w:hAnsi="Times New Roman"/>
                      <w:szCs w:val="21"/>
                    </w:rPr>
                  </w:pPr>
                  <w:r>
                    <w:rPr>
                      <w:rFonts w:hint="eastAsia" w:ascii="Times New Roman" w:hAnsi="Times New Roman"/>
                      <w:szCs w:val="21"/>
                    </w:rPr>
                    <w:t>13%</w:t>
                  </w:r>
                </w:p>
              </w:tc>
              <w:tc>
                <w:tcPr>
                  <w:tcW w:w="1422" w:type="dxa"/>
                  <w:vAlign w:val="center"/>
                </w:tcPr>
                <w:p>
                  <w:pPr>
                    <w:adjustRightInd w:val="0"/>
                    <w:snapToGrid w:val="0"/>
                    <w:jc w:val="center"/>
                    <w:rPr>
                      <w:rFonts w:ascii="Times New Roman" w:hAnsi="Times New Roman"/>
                      <w:szCs w:val="21"/>
                    </w:rPr>
                  </w:pPr>
                  <w:r>
                    <w:rPr>
                      <w:rFonts w:hint="eastAsia" w:ascii="Times New Roman" w:hAnsi="Times New Roman"/>
                      <w:szCs w:val="21"/>
                    </w:rPr>
                    <w:t>3.9万</w:t>
                  </w:r>
                </w:p>
              </w:tc>
              <w:tc>
                <w:tcPr>
                  <w:tcW w:w="2770" w:type="dxa"/>
                  <w:vAlign w:val="center"/>
                </w:tcPr>
                <w:p>
                  <w:pPr>
                    <w:adjustRightInd w:val="0"/>
                    <w:snapToGrid w:val="0"/>
                    <w:jc w:val="center"/>
                    <w:rPr>
                      <w:rFonts w:ascii="Times New Roman" w:hAnsi="Times New Roman"/>
                      <w:szCs w:val="21"/>
                    </w:rPr>
                  </w:pPr>
                  <w:r>
                    <w:rPr>
                      <w:rFonts w:hint="eastAsia" w:ascii="Times New Roman" w:hAnsi="Times New Roman"/>
                      <w:szCs w:val="21"/>
                    </w:rPr>
                    <w:t>热值约为</w:t>
                  </w:r>
                  <w:r>
                    <w:rPr>
                      <w:rFonts w:ascii="Times New Roman" w:hAnsi="Times New Roman"/>
                      <w:szCs w:val="21"/>
                    </w:rPr>
                    <w:t>5500</w:t>
                  </w:r>
                  <w:r>
                    <w:rPr>
                      <w:rFonts w:hint="eastAsia" w:ascii="Times New Roman" w:hAnsi="Times New Roman"/>
                      <w:szCs w:val="21"/>
                    </w:rPr>
                    <w:t>大卡，出厂时平均含水率约为12%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 w:hRule="atLeast"/>
              </w:trPr>
              <w:tc>
                <w:tcPr>
                  <w:tcW w:w="810" w:type="dxa"/>
                  <w:vAlign w:val="center"/>
                </w:tcPr>
                <w:p>
                  <w:pPr>
                    <w:adjustRightInd w:val="0"/>
                    <w:snapToGrid w:val="0"/>
                    <w:jc w:val="center"/>
                    <w:rPr>
                      <w:rFonts w:ascii="Times New Roman" w:hAnsi="Times New Roman"/>
                      <w:szCs w:val="21"/>
                    </w:rPr>
                  </w:pPr>
                  <w:r>
                    <w:rPr>
                      <w:rFonts w:hint="eastAsia" w:ascii="Times New Roman" w:hAnsi="Times New Roman"/>
                      <w:szCs w:val="21"/>
                    </w:rPr>
                    <w:t>3</w:t>
                  </w:r>
                </w:p>
              </w:tc>
              <w:tc>
                <w:tcPr>
                  <w:tcW w:w="1405" w:type="dxa"/>
                  <w:vAlign w:val="center"/>
                </w:tcPr>
                <w:p>
                  <w:pPr>
                    <w:adjustRightInd w:val="0"/>
                    <w:snapToGrid w:val="0"/>
                    <w:jc w:val="center"/>
                    <w:rPr>
                      <w:rFonts w:ascii="Times New Roman" w:hAnsi="Times New Roman"/>
                      <w:szCs w:val="21"/>
                    </w:rPr>
                  </w:pPr>
                  <w:r>
                    <w:rPr>
                      <w:rFonts w:hint="eastAsia" w:ascii="Times New Roman" w:hAnsi="Times New Roman"/>
                      <w:szCs w:val="21"/>
                    </w:rPr>
                    <w:t>矸石</w:t>
                  </w:r>
                </w:p>
              </w:tc>
              <w:tc>
                <w:tcPr>
                  <w:tcW w:w="1278" w:type="dxa"/>
                  <w:vAlign w:val="center"/>
                </w:tcPr>
                <w:p>
                  <w:pPr>
                    <w:adjustRightInd w:val="0"/>
                    <w:snapToGrid w:val="0"/>
                    <w:jc w:val="center"/>
                    <w:rPr>
                      <w:rFonts w:ascii="Times New Roman" w:hAnsi="Times New Roman"/>
                      <w:szCs w:val="21"/>
                    </w:rPr>
                  </w:pPr>
                  <w:r>
                    <w:rPr>
                      <w:rFonts w:hint="eastAsia" w:ascii="Times New Roman" w:hAnsi="Times New Roman"/>
                      <w:szCs w:val="21"/>
                    </w:rPr>
                    <w:t>25%</w:t>
                  </w:r>
                </w:p>
              </w:tc>
              <w:tc>
                <w:tcPr>
                  <w:tcW w:w="1422" w:type="dxa"/>
                  <w:vAlign w:val="center"/>
                </w:tcPr>
                <w:p>
                  <w:pPr>
                    <w:adjustRightInd w:val="0"/>
                    <w:snapToGrid w:val="0"/>
                    <w:jc w:val="center"/>
                    <w:rPr>
                      <w:rFonts w:ascii="Times New Roman" w:hAnsi="Times New Roman"/>
                      <w:szCs w:val="21"/>
                    </w:rPr>
                  </w:pPr>
                  <w:r>
                    <w:rPr>
                      <w:rFonts w:hint="eastAsia" w:ascii="Times New Roman" w:hAnsi="Times New Roman"/>
                      <w:szCs w:val="21"/>
                    </w:rPr>
                    <w:t>7.6万</w:t>
                  </w:r>
                </w:p>
              </w:tc>
              <w:tc>
                <w:tcPr>
                  <w:tcW w:w="2770" w:type="dxa"/>
                  <w:vAlign w:val="center"/>
                </w:tcPr>
                <w:p>
                  <w:pPr>
                    <w:adjustRightInd w:val="0"/>
                    <w:snapToGrid w:val="0"/>
                    <w:jc w:val="center"/>
                    <w:rPr>
                      <w:rFonts w:ascii="Times New Roman" w:hAnsi="Times New Roman"/>
                      <w:szCs w:val="21"/>
                    </w:rPr>
                  </w:pPr>
                  <w:r>
                    <w:rPr>
                      <w:rFonts w:hint="eastAsia" w:ascii="Times New Roman" w:hAnsi="Times New Roman"/>
                      <w:szCs w:val="21"/>
                    </w:rPr>
                    <w:t>出厂时平均含水率约为10%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 w:hRule="atLeast"/>
              </w:trPr>
              <w:tc>
                <w:tcPr>
                  <w:tcW w:w="810" w:type="dxa"/>
                  <w:vAlign w:val="center"/>
                </w:tcPr>
                <w:p>
                  <w:pPr>
                    <w:adjustRightInd w:val="0"/>
                    <w:snapToGrid w:val="0"/>
                    <w:jc w:val="center"/>
                    <w:rPr>
                      <w:rFonts w:ascii="Times New Roman" w:hAnsi="Times New Roman"/>
                      <w:szCs w:val="21"/>
                    </w:rPr>
                  </w:pPr>
                  <w:r>
                    <w:rPr>
                      <w:rFonts w:hint="eastAsia" w:ascii="Times New Roman" w:hAnsi="Times New Roman"/>
                      <w:szCs w:val="21"/>
                    </w:rPr>
                    <w:t>4</w:t>
                  </w:r>
                </w:p>
              </w:tc>
              <w:tc>
                <w:tcPr>
                  <w:tcW w:w="1405" w:type="dxa"/>
                  <w:vAlign w:val="center"/>
                </w:tcPr>
                <w:p>
                  <w:pPr>
                    <w:adjustRightInd w:val="0"/>
                    <w:snapToGrid w:val="0"/>
                    <w:jc w:val="center"/>
                    <w:rPr>
                      <w:rFonts w:ascii="Times New Roman" w:hAnsi="Times New Roman"/>
                      <w:szCs w:val="21"/>
                    </w:rPr>
                  </w:pPr>
                  <w:r>
                    <w:rPr>
                      <w:rFonts w:hint="eastAsia" w:ascii="Times New Roman" w:hAnsi="Times New Roman"/>
                      <w:szCs w:val="21"/>
                    </w:rPr>
                    <w:t>煤泥</w:t>
                  </w:r>
                </w:p>
              </w:tc>
              <w:tc>
                <w:tcPr>
                  <w:tcW w:w="1278" w:type="dxa"/>
                  <w:vAlign w:val="center"/>
                </w:tcPr>
                <w:p>
                  <w:pPr>
                    <w:adjustRightInd w:val="0"/>
                    <w:snapToGrid w:val="0"/>
                    <w:jc w:val="center"/>
                    <w:rPr>
                      <w:rFonts w:ascii="Times New Roman" w:hAnsi="Times New Roman"/>
                      <w:szCs w:val="21"/>
                    </w:rPr>
                  </w:pPr>
                  <w:r>
                    <w:rPr>
                      <w:rFonts w:hint="eastAsia" w:ascii="Times New Roman" w:hAnsi="Times New Roman"/>
                      <w:szCs w:val="21"/>
                    </w:rPr>
                    <w:t>7%</w:t>
                  </w:r>
                </w:p>
              </w:tc>
              <w:tc>
                <w:tcPr>
                  <w:tcW w:w="1422" w:type="dxa"/>
                  <w:vAlign w:val="center"/>
                </w:tcPr>
                <w:p>
                  <w:pPr>
                    <w:adjustRightInd w:val="0"/>
                    <w:snapToGrid w:val="0"/>
                    <w:jc w:val="center"/>
                    <w:rPr>
                      <w:rFonts w:ascii="Times New Roman" w:hAnsi="Times New Roman"/>
                      <w:szCs w:val="21"/>
                    </w:rPr>
                  </w:pPr>
                  <w:r>
                    <w:rPr>
                      <w:rFonts w:hint="eastAsia" w:ascii="Times New Roman" w:hAnsi="Times New Roman"/>
                      <w:szCs w:val="21"/>
                    </w:rPr>
                    <w:t>1.9万</w:t>
                  </w:r>
                </w:p>
              </w:tc>
              <w:tc>
                <w:tcPr>
                  <w:tcW w:w="2770" w:type="dxa"/>
                  <w:vAlign w:val="center"/>
                </w:tcPr>
                <w:p>
                  <w:pPr>
                    <w:adjustRightInd w:val="0"/>
                    <w:snapToGrid w:val="0"/>
                    <w:jc w:val="center"/>
                    <w:rPr>
                      <w:rFonts w:ascii="Times New Roman" w:hAnsi="Times New Roman"/>
                      <w:szCs w:val="21"/>
                    </w:rPr>
                  </w:pPr>
                  <w:r>
                    <w:rPr>
                      <w:rFonts w:hint="eastAsia" w:ascii="Times New Roman" w:hAnsi="Times New Roman"/>
                      <w:szCs w:val="21"/>
                    </w:rPr>
                    <w:t>未经处理煤泥平均含水率约为65%，压滤后平均含水率约为30%，出厂时平均含水率约为20%</w:t>
                  </w:r>
                </w:p>
              </w:tc>
            </w:tr>
          </w:tbl>
          <w:p>
            <w:pPr>
              <w:pStyle w:val="46"/>
              <w:ind w:firstLine="480" w:firstLineChars="200"/>
              <w:jc w:val="left"/>
              <w:rPr>
                <w:rFonts w:eastAsia="宋体" w:cs="Times New Roman"/>
                <w:b w:val="0"/>
                <w:szCs w:val="24"/>
              </w:rPr>
            </w:pPr>
            <w:r>
              <w:rPr>
                <w:rFonts w:eastAsia="宋体" w:cs="Times New Roman"/>
                <w:b w:val="0"/>
                <w:szCs w:val="24"/>
              </w:rPr>
              <w:t>本项目</w:t>
            </w:r>
            <w:r>
              <w:rPr>
                <w:rFonts w:hint="eastAsia" w:eastAsia="宋体" w:cs="Times New Roman"/>
                <w:b w:val="0"/>
                <w:szCs w:val="24"/>
              </w:rPr>
              <w:t>新增</w:t>
            </w:r>
            <w:r>
              <w:rPr>
                <w:rFonts w:eastAsia="宋体" w:cs="Times New Roman"/>
                <w:b w:val="0"/>
                <w:szCs w:val="24"/>
              </w:rPr>
              <w:t>主要</w:t>
            </w:r>
            <w:r>
              <w:rPr>
                <w:rFonts w:hint="eastAsia" w:eastAsia="宋体" w:cs="Times New Roman"/>
                <w:b w:val="0"/>
                <w:szCs w:val="24"/>
              </w:rPr>
              <w:t>原辅材料见</w:t>
            </w:r>
            <w:r>
              <w:rPr>
                <w:rFonts w:eastAsia="宋体" w:cs="Times New Roman"/>
                <w:b w:val="0"/>
                <w:szCs w:val="24"/>
              </w:rPr>
              <w:t>下表。</w:t>
            </w:r>
          </w:p>
          <w:p>
            <w:pPr>
              <w:pStyle w:val="46"/>
              <w:rPr>
                <w:rFonts w:eastAsia="宋体" w:cs="Times New Roman"/>
              </w:rPr>
            </w:pPr>
            <w:r>
              <w:rPr>
                <w:rFonts w:eastAsia="宋体" w:cs="Times New Roman"/>
                <w:szCs w:val="24"/>
              </w:rPr>
              <w:t>表2-</w:t>
            </w:r>
            <w:r>
              <w:rPr>
                <w:rFonts w:hint="eastAsia" w:eastAsia="宋体" w:cs="Times New Roman"/>
                <w:szCs w:val="24"/>
              </w:rPr>
              <w:t>3</w:t>
            </w:r>
            <w:r>
              <w:rPr>
                <w:rFonts w:eastAsia="宋体" w:cs="Times New Roman"/>
              </w:rPr>
              <w:t xml:space="preserve"> 本项目主要</w:t>
            </w:r>
            <w:r>
              <w:rPr>
                <w:rFonts w:hint="eastAsia" w:eastAsia="宋体" w:cs="Times New Roman"/>
              </w:rPr>
              <w:t>原辅材料一览</w:t>
            </w:r>
            <w:r>
              <w:rPr>
                <w:rFonts w:eastAsia="宋体" w:cs="Times New Roman"/>
              </w:rPr>
              <w:t>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8"/>
              <w:gridCol w:w="1276"/>
              <w:gridCol w:w="1133"/>
              <w:gridCol w:w="46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658" w:type="dxa"/>
                  <w:vAlign w:val="center"/>
                </w:tcPr>
                <w:p>
                  <w:pPr>
                    <w:adjustRightInd w:val="0"/>
                    <w:snapToGrid w:val="0"/>
                    <w:jc w:val="center"/>
                    <w:rPr>
                      <w:szCs w:val="21"/>
                    </w:rPr>
                  </w:pPr>
                  <w:r>
                    <w:rPr>
                      <w:rFonts w:hint="eastAsia"/>
                      <w:szCs w:val="21"/>
                    </w:rPr>
                    <w:t>序号</w:t>
                  </w:r>
                </w:p>
              </w:tc>
              <w:tc>
                <w:tcPr>
                  <w:tcW w:w="1276" w:type="dxa"/>
                  <w:vAlign w:val="center"/>
                </w:tcPr>
                <w:p>
                  <w:pPr>
                    <w:adjustRightInd w:val="0"/>
                    <w:snapToGrid w:val="0"/>
                    <w:jc w:val="center"/>
                    <w:rPr>
                      <w:szCs w:val="21"/>
                    </w:rPr>
                  </w:pPr>
                  <w:r>
                    <w:rPr>
                      <w:rFonts w:hint="eastAsia"/>
                      <w:szCs w:val="21"/>
                    </w:rPr>
                    <w:t>原材料名称</w:t>
                  </w:r>
                </w:p>
              </w:tc>
              <w:tc>
                <w:tcPr>
                  <w:tcW w:w="1133" w:type="dxa"/>
                  <w:vAlign w:val="center"/>
                </w:tcPr>
                <w:p>
                  <w:pPr>
                    <w:adjustRightInd w:val="0"/>
                    <w:snapToGrid w:val="0"/>
                    <w:ind w:left="420" w:hanging="420"/>
                    <w:jc w:val="center"/>
                    <w:rPr>
                      <w:szCs w:val="21"/>
                    </w:rPr>
                  </w:pPr>
                  <w:r>
                    <w:rPr>
                      <w:rFonts w:hint="eastAsia"/>
                      <w:szCs w:val="21"/>
                    </w:rPr>
                    <w:t>消耗量</w:t>
                  </w:r>
                </w:p>
              </w:tc>
              <w:tc>
                <w:tcPr>
                  <w:tcW w:w="4618" w:type="dxa"/>
                  <w:vAlign w:val="center"/>
                </w:tcPr>
                <w:p>
                  <w:pPr>
                    <w:adjustRightInd w:val="0"/>
                    <w:snapToGrid w:val="0"/>
                    <w:jc w:val="center"/>
                    <w:rPr>
                      <w:szCs w:val="21"/>
                    </w:rPr>
                  </w:pPr>
                  <w:r>
                    <w:rPr>
                      <w:rFonts w:hint="eastAsia"/>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658" w:type="dxa"/>
                  <w:vAlign w:val="center"/>
                </w:tcPr>
                <w:p>
                  <w:pPr>
                    <w:adjustRightInd w:val="0"/>
                    <w:snapToGrid w:val="0"/>
                    <w:jc w:val="center"/>
                    <w:rPr>
                      <w:szCs w:val="21"/>
                    </w:rPr>
                  </w:pPr>
                  <w:r>
                    <w:rPr>
                      <w:rFonts w:hint="eastAsia"/>
                      <w:szCs w:val="21"/>
                    </w:rPr>
                    <w:t>1</w:t>
                  </w:r>
                </w:p>
              </w:tc>
              <w:tc>
                <w:tcPr>
                  <w:tcW w:w="1276" w:type="dxa"/>
                  <w:vAlign w:val="center"/>
                </w:tcPr>
                <w:p>
                  <w:pPr>
                    <w:adjustRightInd w:val="0"/>
                    <w:snapToGrid w:val="0"/>
                    <w:jc w:val="center"/>
                    <w:rPr>
                      <w:szCs w:val="21"/>
                    </w:rPr>
                  </w:pPr>
                  <w:r>
                    <w:rPr>
                      <w:rFonts w:hint="eastAsia"/>
                      <w:szCs w:val="21"/>
                    </w:rPr>
                    <w:t>原煤</w:t>
                  </w:r>
                </w:p>
              </w:tc>
              <w:tc>
                <w:tcPr>
                  <w:tcW w:w="1133" w:type="dxa"/>
                  <w:vAlign w:val="center"/>
                </w:tcPr>
                <w:p>
                  <w:pPr>
                    <w:adjustRightInd w:val="0"/>
                    <w:snapToGrid w:val="0"/>
                    <w:jc w:val="center"/>
                    <w:rPr>
                      <w:szCs w:val="21"/>
                    </w:rPr>
                  </w:pPr>
                  <w:r>
                    <w:rPr>
                      <w:rFonts w:hint="eastAsia"/>
                      <w:szCs w:val="21"/>
                    </w:rPr>
                    <w:t>30万t/a</w:t>
                  </w:r>
                </w:p>
              </w:tc>
              <w:tc>
                <w:tcPr>
                  <w:tcW w:w="4618" w:type="dxa"/>
                </w:tcPr>
                <w:p>
                  <w:pPr>
                    <w:adjustRightInd w:val="0"/>
                    <w:rPr>
                      <w:szCs w:val="21"/>
                    </w:rPr>
                  </w:pPr>
                  <w:r>
                    <w:rPr>
                      <w:rFonts w:hint="eastAsia"/>
                      <w:szCs w:val="21"/>
                    </w:rPr>
                    <w:t>原煤来源于黑龙江省鹤岗市兴安区红旗镇峻丰村东方金泽6矿，原煤经人工摘选出粒径大于200mm的颗粒后进厂，因此本项目所用的原煤粒径小于200mm，原煤的平均含水率约为10%。</w:t>
                  </w:r>
                </w:p>
                <w:p>
                  <w:pPr>
                    <w:adjustRightInd w:val="0"/>
                    <w:rPr>
                      <w:szCs w:val="21"/>
                    </w:rPr>
                  </w:pPr>
                  <w:r>
                    <w:rPr>
                      <w:rFonts w:hint="eastAsia"/>
                      <w:szCs w:val="21"/>
                    </w:rPr>
                    <w:t>峻丰村东方金泽6矿位于本项目选址位置西侧</w:t>
                  </w:r>
                  <w:r>
                    <w:rPr>
                      <w:szCs w:val="21"/>
                    </w:rPr>
                    <w:t>300m</w:t>
                  </w:r>
                  <w:r>
                    <w:rPr>
                      <w:rFonts w:hint="eastAsia"/>
                      <w:szCs w:val="21"/>
                    </w:rPr>
                    <w:t>处，与本项目距离较近，本项目所用原煤不在厂区内大量堆存，定期由汽车拉运至厂区内随用随存。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658" w:type="dxa"/>
                  <w:vAlign w:val="center"/>
                </w:tcPr>
                <w:p>
                  <w:pPr>
                    <w:adjustRightInd w:val="0"/>
                    <w:snapToGrid w:val="0"/>
                    <w:jc w:val="center"/>
                    <w:rPr>
                      <w:szCs w:val="21"/>
                    </w:rPr>
                  </w:pPr>
                  <w:r>
                    <w:rPr>
                      <w:rFonts w:hint="eastAsia"/>
                      <w:szCs w:val="21"/>
                    </w:rPr>
                    <w:t>2</w:t>
                  </w:r>
                </w:p>
              </w:tc>
              <w:tc>
                <w:tcPr>
                  <w:tcW w:w="1276" w:type="dxa"/>
                  <w:vAlign w:val="center"/>
                </w:tcPr>
                <w:p>
                  <w:pPr>
                    <w:adjustRightInd w:val="0"/>
                    <w:snapToGrid w:val="0"/>
                    <w:jc w:val="center"/>
                    <w:rPr>
                      <w:szCs w:val="21"/>
                    </w:rPr>
                  </w:pPr>
                  <w:r>
                    <w:rPr>
                      <w:rFonts w:hint="eastAsia"/>
                      <w:szCs w:val="21"/>
                    </w:rPr>
                    <w:t>聚丙烯酰胺（PAM）</w:t>
                  </w:r>
                </w:p>
              </w:tc>
              <w:tc>
                <w:tcPr>
                  <w:tcW w:w="1133" w:type="dxa"/>
                  <w:vAlign w:val="center"/>
                </w:tcPr>
                <w:p>
                  <w:pPr>
                    <w:adjustRightInd w:val="0"/>
                    <w:snapToGrid w:val="0"/>
                    <w:jc w:val="center"/>
                    <w:rPr>
                      <w:szCs w:val="21"/>
                    </w:rPr>
                  </w:pPr>
                  <w:r>
                    <w:rPr>
                      <w:rFonts w:hint="eastAsia"/>
                      <w:szCs w:val="21"/>
                    </w:rPr>
                    <w:t>0.06t/a</w:t>
                  </w:r>
                </w:p>
              </w:tc>
              <w:tc>
                <w:tcPr>
                  <w:tcW w:w="4618" w:type="dxa"/>
                </w:tcPr>
                <w:p>
                  <w:pPr>
                    <w:adjustRightInd w:val="0"/>
                    <w:jc w:val="left"/>
                    <w:rPr>
                      <w:szCs w:val="21"/>
                    </w:rPr>
                  </w:pPr>
                  <w:r>
                    <w:rPr>
                      <w:rFonts w:hint="eastAsia"/>
                      <w:szCs w:val="21"/>
                    </w:rPr>
                    <w:t>聚丙烯酰胺是一种新兴净水材料，为白色粉末或半透明颗粒，密度为1.32g/cm</w:t>
                  </w:r>
                  <w:r>
                    <w:rPr>
                      <w:rFonts w:hint="eastAsia"/>
                      <w:szCs w:val="21"/>
                      <w:vertAlign w:val="superscript"/>
                    </w:rPr>
                    <w:t>3</w:t>
                  </w:r>
                  <w:r>
                    <w:rPr>
                      <w:rFonts w:hint="eastAsia"/>
                      <w:szCs w:val="21"/>
                    </w:rPr>
                    <w:t>（常温），玻璃化温度为188度，软化温度近于210度，温度超过12度时易分解，溶于水，几乎不溶于有机溶剂。聚丙烯酰胺是由丙烯酰胺（AM）单体经自由基引发聚合而成的水溶性线性高分子聚合物，具有良好的絮凝性，可以降低液体之间的摩擦阻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658" w:type="dxa"/>
                  <w:vAlign w:val="center"/>
                </w:tcPr>
                <w:p>
                  <w:pPr>
                    <w:adjustRightInd w:val="0"/>
                    <w:snapToGrid w:val="0"/>
                    <w:jc w:val="center"/>
                    <w:rPr>
                      <w:szCs w:val="21"/>
                    </w:rPr>
                  </w:pPr>
                  <w:r>
                    <w:rPr>
                      <w:rFonts w:hint="eastAsia"/>
                      <w:szCs w:val="21"/>
                    </w:rPr>
                    <w:t>3</w:t>
                  </w:r>
                </w:p>
              </w:tc>
              <w:tc>
                <w:tcPr>
                  <w:tcW w:w="1276" w:type="dxa"/>
                  <w:vAlign w:val="center"/>
                </w:tcPr>
                <w:p>
                  <w:pPr>
                    <w:adjustRightInd w:val="0"/>
                    <w:snapToGrid w:val="0"/>
                    <w:jc w:val="center"/>
                    <w:rPr>
                      <w:szCs w:val="21"/>
                    </w:rPr>
                  </w:pPr>
                  <w:r>
                    <w:rPr>
                      <w:rFonts w:hint="eastAsia"/>
                      <w:szCs w:val="21"/>
                    </w:rPr>
                    <w:t>生产用水</w:t>
                  </w:r>
                </w:p>
              </w:tc>
              <w:tc>
                <w:tcPr>
                  <w:tcW w:w="1133" w:type="dxa"/>
                  <w:vAlign w:val="center"/>
                </w:tcPr>
                <w:p>
                  <w:pPr>
                    <w:adjustRightInd w:val="0"/>
                    <w:snapToGrid w:val="0"/>
                    <w:jc w:val="center"/>
                    <w:rPr>
                      <w:szCs w:val="21"/>
                    </w:rPr>
                  </w:pPr>
                  <w:r>
                    <w:rPr>
                      <w:szCs w:val="21"/>
                    </w:rPr>
                    <w:t>21372</w:t>
                  </w:r>
                  <w:r>
                    <w:rPr>
                      <w:rFonts w:hint="eastAsia"/>
                      <w:szCs w:val="21"/>
                    </w:rPr>
                    <w:t>t/a</w:t>
                  </w:r>
                </w:p>
              </w:tc>
              <w:tc>
                <w:tcPr>
                  <w:tcW w:w="4618" w:type="dxa"/>
                  <w:vAlign w:val="center"/>
                </w:tcPr>
                <w:p>
                  <w:pPr>
                    <w:adjustRightInd w:val="0"/>
                    <w:rPr>
                      <w:szCs w:val="21"/>
                    </w:rPr>
                  </w:pPr>
                  <w:r>
                    <w:rPr>
                      <w:rFonts w:hint="eastAsia"/>
                      <w:szCs w:val="21"/>
                    </w:rPr>
                    <w:t>/</w:t>
                  </w:r>
                </w:p>
              </w:tc>
            </w:tr>
          </w:tbl>
          <w:p>
            <w:pPr>
              <w:pStyle w:val="46"/>
              <w:ind w:firstLine="480" w:firstLineChars="200"/>
              <w:jc w:val="left"/>
              <w:rPr>
                <w:rFonts w:eastAsia="宋体" w:cs="Times New Roman"/>
                <w:b w:val="0"/>
                <w:szCs w:val="24"/>
              </w:rPr>
            </w:pPr>
            <w:r>
              <w:rPr>
                <w:rFonts w:hint="eastAsia" w:eastAsia="宋体" w:cs="Times New Roman"/>
                <w:b w:val="0"/>
                <w:szCs w:val="24"/>
              </w:rPr>
              <w:t>本项目物料平衡表见下表。</w:t>
            </w:r>
          </w:p>
          <w:p>
            <w:pPr>
              <w:pStyle w:val="46"/>
              <w:rPr>
                <w:rFonts w:eastAsia="宋体" w:cs="Times New Roman"/>
              </w:rPr>
            </w:pPr>
            <w:r>
              <w:rPr>
                <w:rFonts w:hint="eastAsia" w:eastAsia="宋体" w:cs="Times New Roman"/>
              </w:rPr>
              <w:t>表2-4 物料平衡表</w:t>
            </w:r>
          </w:p>
          <w:tbl>
            <w:tblPr>
              <w:tblStyle w:val="2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796"/>
              <w:gridCol w:w="1697"/>
              <w:gridCol w:w="2415"/>
              <w:gridCol w:w="177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vAlign w:val="center"/>
                </w:tcPr>
                <w:p>
                  <w:pPr>
                    <w:snapToGrid w:val="0"/>
                    <w:jc w:val="center"/>
                    <w:rPr>
                      <w:bCs/>
                      <w:szCs w:val="21"/>
                    </w:rPr>
                  </w:pPr>
                  <w:r>
                    <w:rPr>
                      <w:bCs/>
                      <w:szCs w:val="21"/>
                    </w:rPr>
                    <w:t>原料</w:t>
                  </w:r>
                </w:p>
              </w:tc>
              <w:tc>
                <w:tcPr>
                  <w:tcW w:w="1104" w:type="pct"/>
                  <w:vAlign w:val="center"/>
                </w:tcPr>
                <w:p>
                  <w:pPr>
                    <w:snapToGrid w:val="0"/>
                    <w:jc w:val="center"/>
                    <w:rPr>
                      <w:bCs/>
                      <w:szCs w:val="21"/>
                    </w:rPr>
                  </w:pPr>
                  <w:r>
                    <w:rPr>
                      <w:bCs/>
                      <w:szCs w:val="21"/>
                    </w:rPr>
                    <w:t>进料量</w:t>
                  </w:r>
                  <w:r>
                    <w:rPr>
                      <w:rFonts w:hint="eastAsia"/>
                      <w:bCs/>
                      <w:szCs w:val="21"/>
                    </w:rPr>
                    <w:t>（</w:t>
                  </w:r>
                  <w:r>
                    <w:rPr>
                      <w:bCs/>
                      <w:szCs w:val="21"/>
                    </w:rPr>
                    <w:t>t/a</w:t>
                  </w:r>
                  <w:r>
                    <w:rPr>
                      <w:rFonts w:hint="eastAsia"/>
                      <w:bCs/>
                      <w:szCs w:val="21"/>
                    </w:rPr>
                    <w:t>）</w:t>
                  </w:r>
                </w:p>
              </w:tc>
              <w:tc>
                <w:tcPr>
                  <w:tcW w:w="1571" w:type="pct"/>
                  <w:vAlign w:val="center"/>
                </w:tcPr>
                <w:p>
                  <w:pPr>
                    <w:snapToGrid w:val="0"/>
                    <w:jc w:val="center"/>
                    <w:rPr>
                      <w:bCs/>
                      <w:szCs w:val="21"/>
                    </w:rPr>
                  </w:pPr>
                  <w:r>
                    <w:rPr>
                      <w:bCs/>
                      <w:szCs w:val="21"/>
                    </w:rPr>
                    <w:t>产生物名称</w:t>
                  </w:r>
                </w:p>
              </w:tc>
              <w:tc>
                <w:tcPr>
                  <w:tcW w:w="1156" w:type="pct"/>
                  <w:vAlign w:val="center"/>
                </w:tcPr>
                <w:p>
                  <w:pPr>
                    <w:snapToGrid w:val="0"/>
                    <w:jc w:val="center"/>
                    <w:rPr>
                      <w:bCs/>
                      <w:szCs w:val="21"/>
                    </w:rPr>
                  </w:pPr>
                  <w:r>
                    <w:rPr>
                      <w:bCs/>
                      <w:szCs w:val="21"/>
                    </w:rPr>
                    <w:t>产生量</w:t>
                  </w:r>
                  <w:r>
                    <w:rPr>
                      <w:rFonts w:hint="eastAsia"/>
                      <w:bCs/>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vAlign w:val="center"/>
                </w:tcPr>
                <w:p>
                  <w:pPr>
                    <w:snapToGrid w:val="0"/>
                    <w:jc w:val="center"/>
                    <w:rPr>
                      <w:bCs/>
                      <w:szCs w:val="21"/>
                    </w:rPr>
                  </w:pPr>
                  <w:r>
                    <w:rPr>
                      <w:rFonts w:hint="eastAsia"/>
                      <w:szCs w:val="21"/>
                    </w:rPr>
                    <w:t>原煤</w:t>
                  </w:r>
                </w:p>
              </w:tc>
              <w:tc>
                <w:tcPr>
                  <w:tcW w:w="1104" w:type="pct"/>
                  <w:vAlign w:val="center"/>
                </w:tcPr>
                <w:p>
                  <w:pPr>
                    <w:snapToGrid w:val="0"/>
                    <w:jc w:val="center"/>
                    <w:rPr>
                      <w:szCs w:val="21"/>
                    </w:rPr>
                  </w:pPr>
                  <w:r>
                    <w:rPr>
                      <w:rFonts w:hint="eastAsia"/>
                      <w:szCs w:val="21"/>
                    </w:rPr>
                    <w:t>300000</w:t>
                  </w:r>
                </w:p>
              </w:tc>
              <w:tc>
                <w:tcPr>
                  <w:tcW w:w="1571" w:type="pct"/>
                  <w:vAlign w:val="center"/>
                </w:tcPr>
                <w:p>
                  <w:pPr>
                    <w:snapToGrid w:val="0"/>
                    <w:jc w:val="center"/>
                    <w:rPr>
                      <w:bCs/>
                      <w:szCs w:val="21"/>
                    </w:rPr>
                  </w:pPr>
                  <w:r>
                    <w:rPr>
                      <w:rFonts w:hint="eastAsia"/>
                      <w:szCs w:val="21"/>
                    </w:rPr>
                    <w:t>精煤（含水率10%）</w:t>
                  </w:r>
                </w:p>
              </w:tc>
              <w:tc>
                <w:tcPr>
                  <w:tcW w:w="1156" w:type="pct"/>
                  <w:vAlign w:val="center"/>
                </w:tcPr>
                <w:p>
                  <w:pPr>
                    <w:snapToGrid w:val="0"/>
                    <w:jc w:val="center"/>
                    <w:rPr>
                      <w:bCs/>
                      <w:szCs w:val="21"/>
                    </w:rPr>
                  </w:pPr>
                  <w:r>
                    <w:rPr>
                      <w:rFonts w:hint="eastAsia"/>
                      <w:bCs/>
                      <w:szCs w:val="21"/>
                    </w:rPr>
                    <w:t>167000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vAlign w:val="center"/>
                </w:tcPr>
                <w:p>
                  <w:pPr>
                    <w:snapToGrid w:val="0"/>
                    <w:jc w:val="center"/>
                    <w:rPr>
                      <w:bCs/>
                      <w:szCs w:val="21"/>
                    </w:rPr>
                  </w:pPr>
                  <w:r>
                    <w:rPr>
                      <w:rFonts w:hint="eastAsia"/>
                      <w:szCs w:val="21"/>
                    </w:rPr>
                    <w:t>聚丙烯酰胺</w:t>
                  </w:r>
                </w:p>
              </w:tc>
              <w:tc>
                <w:tcPr>
                  <w:tcW w:w="1104" w:type="pct"/>
                  <w:vAlign w:val="center"/>
                </w:tcPr>
                <w:p>
                  <w:pPr>
                    <w:snapToGrid w:val="0"/>
                    <w:jc w:val="center"/>
                    <w:rPr>
                      <w:bCs/>
                      <w:szCs w:val="21"/>
                    </w:rPr>
                  </w:pPr>
                  <w:r>
                    <w:rPr>
                      <w:rFonts w:hint="eastAsia"/>
                      <w:szCs w:val="21"/>
                    </w:rPr>
                    <w:t>0.06</w:t>
                  </w:r>
                </w:p>
              </w:tc>
              <w:tc>
                <w:tcPr>
                  <w:tcW w:w="1571" w:type="pct"/>
                  <w:vAlign w:val="center"/>
                </w:tcPr>
                <w:p>
                  <w:pPr>
                    <w:snapToGrid w:val="0"/>
                    <w:jc w:val="center"/>
                    <w:rPr>
                      <w:bCs/>
                      <w:szCs w:val="21"/>
                    </w:rPr>
                  </w:pPr>
                  <w:r>
                    <w:rPr>
                      <w:rFonts w:hint="eastAsia"/>
                      <w:szCs w:val="21"/>
                    </w:rPr>
                    <w:t>中煤（含水率12%）</w:t>
                  </w:r>
                </w:p>
              </w:tc>
              <w:tc>
                <w:tcPr>
                  <w:tcW w:w="1156" w:type="pct"/>
                  <w:vAlign w:val="center"/>
                </w:tcPr>
                <w:p>
                  <w:pPr>
                    <w:snapToGrid w:val="0"/>
                    <w:jc w:val="center"/>
                    <w:rPr>
                      <w:bCs/>
                      <w:szCs w:val="21"/>
                    </w:rPr>
                  </w:pPr>
                  <w:r>
                    <w:rPr>
                      <w:rFonts w:hint="eastAsia"/>
                      <w:szCs w:val="21"/>
                    </w:rPr>
                    <w:t>39000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vAlign w:val="center"/>
                </w:tcPr>
                <w:p>
                  <w:pPr>
                    <w:snapToGrid w:val="0"/>
                    <w:jc w:val="center"/>
                    <w:rPr>
                      <w:bCs/>
                      <w:szCs w:val="21"/>
                    </w:rPr>
                  </w:pPr>
                  <w:r>
                    <w:rPr>
                      <w:rFonts w:hint="eastAsia"/>
                      <w:szCs w:val="21"/>
                    </w:rPr>
                    <w:t>生产用水</w:t>
                  </w:r>
                </w:p>
              </w:tc>
              <w:tc>
                <w:tcPr>
                  <w:tcW w:w="1104" w:type="pct"/>
                  <w:vAlign w:val="center"/>
                </w:tcPr>
                <w:p>
                  <w:pPr>
                    <w:snapToGrid w:val="0"/>
                    <w:jc w:val="center"/>
                    <w:rPr>
                      <w:bCs/>
                      <w:szCs w:val="21"/>
                    </w:rPr>
                  </w:pPr>
                  <w:r>
                    <w:rPr>
                      <w:rFonts w:hint="eastAsia"/>
                      <w:bCs/>
                      <w:szCs w:val="21"/>
                    </w:rPr>
                    <w:t>21372</w:t>
                  </w:r>
                </w:p>
              </w:tc>
              <w:tc>
                <w:tcPr>
                  <w:tcW w:w="1571" w:type="pct"/>
                  <w:vAlign w:val="center"/>
                </w:tcPr>
                <w:p>
                  <w:pPr>
                    <w:snapToGrid w:val="0"/>
                    <w:jc w:val="center"/>
                    <w:rPr>
                      <w:bCs/>
                      <w:szCs w:val="21"/>
                    </w:rPr>
                  </w:pPr>
                  <w:r>
                    <w:rPr>
                      <w:rFonts w:hint="eastAsia"/>
                      <w:szCs w:val="21"/>
                    </w:rPr>
                    <w:t>矸石（含水率10%）</w:t>
                  </w:r>
                </w:p>
              </w:tc>
              <w:tc>
                <w:tcPr>
                  <w:tcW w:w="1156" w:type="pct"/>
                  <w:vAlign w:val="center"/>
                </w:tcPr>
                <w:p>
                  <w:pPr>
                    <w:snapToGrid w:val="0"/>
                    <w:jc w:val="center"/>
                    <w:rPr>
                      <w:bCs/>
                      <w:szCs w:val="21"/>
                    </w:rPr>
                  </w:pPr>
                  <w:r>
                    <w:rPr>
                      <w:rFonts w:hint="eastAsia"/>
                      <w:szCs w:val="21"/>
                    </w:rPr>
                    <w:t>76000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vAlign w:val="center"/>
                </w:tcPr>
                <w:p>
                  <w:pPr>
                    <w:snapToGrid w:val="0"/>
                    <w:jc w:val="center"/>
                    <w:rPr>
                      <w:bCs/>
                      <w:szCs w:val="21"/>
                    </w:rPr>
                  </w:pPr>
                  <w:r>
                    <w:rPr>
                      <w:rFonts w:hint="eastAsia"/>
                      <w:szCs w:val="21"/>
                    </w:rPr>
                    <w:t>/</w:t>
                  </w:r>
                </w:p>
              </w:tc>
              <w:tc>
                <w:tcPr>
                  <w:tcW w:w="1104" w:type="pct"/>
                  <w:vAlign w:val="center"/>
                </w:tcPr>
                <w:p>
                  <w:pPr>
                    <w:snapToGrid w:val="0"/>
                    <w:jc w:val="center"/>
                    <w:rPr>
                      <w:bCs/>
                      <w:szCs w:val="21"/>
                    </w:rPr>
                  </w:pPr>
                  <w:r>
                    <w:rPr>
                      <w:rFonts w:hint="eastAsia"/>
                      <w:szCs w:val="21"/>
                    </w:rPr>
                    <w:t>/</w:t>
                  </w:r>
                </w:p>
              </w:tc>
              <w:tc>
                <w:tcPr>
                  <w:tcW w:w="1571" w:type="pct"/>
                  <w:vAlign w:val="center"/>
                </w:tcPr>
                <w:p>
                  <w:pPr>
                    <w:snapToGrid w:val="0"/>
                    <w:jc w:val="center"/>
                    <w:rPr>
                      <w:bCs/>
                      <w:szCs w:val="21"/>
                    </w:rPr>
                  </w:pPr>
                  <w:r>
                    <w:rPr>
                      <w:rFonts w:hint="eastAsia"/>
                      <w:szCs w:val="21"/>
                    </w:rPr>
                    <w:t>煤泥（含水率20%）</w:t>
                  </w:r>
                </w:p>
              </w:tc>
              <w:tc>
                <w:tcPr>
                  <w:tcW w:w="1156" w:type="pct"/>
                  <w:vAlign w:val="center"/>
                </w:tcPr>
                <w:p>
                  <w:pPr>
                    <w:snapToGrid w:val="0"/>
                    <w:jc w:val="center"/>
                    <w:rPr>
                      <w:bCs/>
                      <w:szCs w:val="21"/>
                    </w:rPr>
                  </w:pPr>
                  <w:r>
                    <w:rPr>
                      <w:rFonts w:hint="eastAsia"/>
                      <w:szCs w:val="21"/>
                    </w:rPr>
                    <w:t>19000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vAlign w:val="center"/>
                </w:tcPr>
                <w:p>
                  <w:pPr>
                    <w:snapToGrid w:val="0"/>
                    <w:jc w:val="center"/>
                    <w:rPr>
                      <w:bCs/>
                      <w:szCs w:val="21"/>
                    </w:rPr>
                  </w:pPr>
                  <w:r>
                    <w:rPr>
                      <w:rFonts w:hint="eastAsia"/>
                      <w:szCs w:val="21"/>
                    </w:rPr>
                    <w:t>/</w:t>
                  </w:r>
                </w:p>
              </w:tc>
              <w:tc>
                <w:tcPr>
                  <w:tcW w:w="1104" w:type="pct"/>
                  <w:vAlign w:val="center"/>
                </w:tcPr>
                <w:p>
                  <w:pPr>
                    <w:snapToGrid w:val="0"/>
                    <w:jc w:val="center"/>
                    <w:rPr>
                      <w:bCs/>
                      <w:szCs w:val="21"/>
                    </w:rPr>
                  </w:pPr>
                  <w:r>
                    <w:rPr>
                      <w:rFonts w:hint="eastAsia"/>
                      <w:szCs w:val="21"/>
                    </w:rPr>
                    <w:t>/</w:t>
                  </w:r>
                </w:p>
              </w:tc>
              <w:tc>
                <w:tcPr>
                  <w:tcW w:w="1571" w:type="pct"/>
                  <w:vAlign w:val="center"/>
                </w:tcPr>
                <w:p>
                  <w:pPr>
                    <w:snapToGrid w:val="0"/>
                    <w:jc w:val="center"/>
                    <w:rPr>
                      <w:bCs/>
                      <w:szCs w:val="21"/>
                    </w:rPr>
                  </w:pPr>
                  <w:r>
                    <w:rPr>
                      <w:rFonts w:hint="eastAsia"/>
                      <w:bCs/>
                      <w:szCs w:val="21"/>
                    </w:rPr>
                    <w:t>原料运输和转运粉尘</w:t>
                  </w:r>
                </w:p>
              </w:tc>
              <w:tc>
                <w:tcPr>
                  <w:tcW w:w="1156" w:type="pct"/>
                  <w:vAlign w:val="center"/>
                </w:tcPr>
                <w:p>
                  <w:pPr>
                    <w:snapToGrid w:val="0"/>
                    <w:jc w:val="center"/>
                    <w:rPr>
                      <w:bCs/>
                      <w:szCs w:val="21"/>
                    </w:rPr>
                  </w:pPr>
                  <w:r>
                    <w:rPr>
                      <w:rFonts w:hint="eastAsia"/>
                      <w:bCs/>
                      <w:szCs w:val="21"/>
                    </w:rPr>
                    <w:t>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vAlign w:val="center"/>
                </w:tcPr>
                <w:p>
                  <w:pPr>
                    <w:snapToGrid w:val="0"/>
                    <w:jc w:val="center"/>
                    <w:rPr>
                      <w:bCs/>
                      <w:szCs w:val="21"/>
                    </w:rPr>
                  </w:pPr>
                  <w:r>
                    <w:rPr>
                      <w:rFonts w:hint="eastAsia"/>
                      <w:szCs w:val="21"/>
                    </w:rPr>
                    <w:t>/</w:t>
                  </w:r>
                </w:p>
              </w:tc>
              <w:tc>
                <w:tcPr>
                  <w:tcW w:w="1104" w:type="pct"/>
                  <w:vAlign w:val="center"/>
                </w:tcPr>
                <w:p>
                  <w:pPr>
                    <w:snapToGrid w:val="0"/>
                    <w:jc w:val="center"/>
                    <w:rPr>
                      <w:bCs/>
                      <w:szCs w:val="21"/>
                    </w:rPr>
                  </w:pPr>
                  <w:r>
                    <w:rPr>
                      <w:rFonts w:hint="eastAsia"/>
                      <w:szCs w:val="21"/>
                    </w:rPr>
                    <w:t>/</w:t>
                  </w:r>
                </w:p>
              </w:tc>
              <w:tc>
                <w:tcPr>
                  <w:tcW w:w="1571" w:type="pct"/>
                  <w:vAlign w:val="center"/>
                </w:tcPr>
                <w:p>
                  <w:pPr>
                    <w:snapToGrid w:val="0"/>
                    <w:jc w:val="center"/>
                    <w:rPr>
                      <w:bCs/>
                      <w:szCs w:val="21"/>
                    </w:rPr>
                  </w:pPr>
                  <w:r>
                    <w:rPr>
                      <w:rFonts w:hint="eastAsia"/>
                      <w:bCs/>
                      <w:szCs w:val="21"/>
                    </w:rPr>
                    <w:t>道路运输扬尘</w:t>
                  </w:r>
                </w:p>
              </w:tc>
              <w:tc>
                <w:tcPr>
                  <w:tcW w:w="1156" w:type="pct"/>
                  <w:vAlign w:val="center"/>
                </w:tcPr>
                <w:p>
                  <w:pPr>
                    <w:snapToGrid w:val="0"/>
                    <w:jc w:val="center"/>
                    <w:rPr>
                      <w:bCs/>
                      <w:szCs w:val="21"/>
                    </w:rPr>
                  </w:pPr>
                  <w:r>
                    <w:rPr>
                      <w:rFonts w:hint="eastAsia"/>
                      <w:bCs/>
                      <w:szCs w:val="21"/>
                    </w:rPr>
                    <w:t>1.83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vAlign w:val="center"/>
                </w:tcPr>
                <w:p>
                  <w:pPr>
                    <w:snapToGrid w:val="0"/>
                    <w:jc w:val="center"/>
                    <w:rPr>
                      <w:szCs w:val="21"/>
                    </w:rPr>
                  </w:pPr>
                  <w:r>
                    <w:rPr>
                      <w:rFonts w:hint="eastAsia"/>
                      <w:szCs w:val="21"/>
                    </w:rPr>
                    <w:t>/</w:t>
                  </w:r>
                </w:p>
              </w:tc>
              <w:tc>
                <w:tcPr>
                  <w:tcW w:w="1104" w:type="pct"/>
                  <w:vAlign w:val="center"/>
                </w:tcPr>
                <w:p>
                  <w:pPr>
                    <w:snapToGrid w:val="0"/>
                    <w:jc w:val="center"/>
                    <w:rPr>
                      <w:szCs w:val="21"/>
                    </w:rPr>
                  </w:pPr>
                  <w:r>
                    <w:rPr>
                      <w:rFonts w:hint="eastAsia"/>
                      <w:szCs w:val="21"/>
                    </w:rPr>
                    <w:t>/</w:t>
                  </w:r>
                </w:p>
              </w:tc>
              <w:tc>
                <w:tcPr>
                  <w:tcW w:w="1571" w:type="pct"/>
                  <w:vAlign w:val="center"/>
                </w:tcPr>
                <w:p>
                  <w:pPr>
                    <w:snapToGrid w:val="0"/>
                    <w:jc w:val="center"/>
                    <w:rPr>
                      <w:bCs/>
                      <w:szCs w:val="21"/>
                    </w:rPr>
                  </w:pPr>
                  <w:r>
                    <w:rPr>
                      <w:rFonts w:hint="eastAsia"/>
                      <w:bCs/>
                      <w:szCs w:val="21"/>
                    </w:rPr>
                    <w:t>生活用水</w:t>
                  </w:r>
                </w:p>
              </w:tc>
              <w:tc>
                <w:tcPr>
                  <w:tcW w:w="1156" w:type="pct"/>
                  <w:vAlign w:val="center"/>
                </w:tcPr>
                <w:p>
                  <w:pPr>
                    <w:snapToGrid w:val="0"/>
                    <w:jc w:val="center"/>
                    <w:rPr>
                      <w:bCs/>
                      <w:szCs w:val="21"/>
                    </w:rPr>
                  </w:pPr>
                  <w:r>
                    <w:rPr>
                      <w:rFonts w:hint="eastAsia"/>
                      <w:bCs/>
                      <w:szCs w:val="21"/>
                    </w:rPr>
                    <w:t>192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vAlign w:val="center"/>
                </w:tcPr>
                <w:p>
                  <w:pPr>
                    <w:snapToGrid w:val="0"/>
                    <w:jc w:val="center"/>
                    <w:rPr>
                      <w:szCs w:val="21"/>
                    </w:rPr>
                  </w:pPr>
                  <w:r>
                    <w:rPr>
                      <w:rFonts w:hint="eastAsia"/>
                      <w:szCs w:val="21"/>
                    </w:rPr>
                    <w:t>/</w:t>
                  </w:r>
                </w:p>
              </w:tc>
              <w:tc>
                <w:tcPr>
                  <w:tcW w:w="1104" w:type="pct"/>
                  <w:vAlign w:val="center"/>
                </w:tcPr>
                <w:p>
                  <w:pPr>
                    <w:snapToGrid w:val="0"/>
                    <w:jc w:val="center"/>
                    <w:rPr>
                      <w:szCs w:val="21"/>
                    </w:rPr>
                  </w:pPr>
                  <w:r>
                    <w:rPr>
                      <w:rFonts w:hint="eastAsia"/>
                      <w:szCs w:val="21"/>
                    </w:rPr>
                    <w:t>/</w:t>
                  </w:r>
                </w:p>
              </w:tc>
              <w:tc>
                <w:tcPr>
                  <w:tcW w:w="1571" w:type="pct"/>
                  <w:vAlign w:val="center"/>
                </w:tcPr>
                <w:p>
                  <w:pPr>
                    <w:snapToGrid w:val="0"/>
                    <w:jc w:val="center"/>
                    <w:rPr>
                      <w:bCs/>
                      <w:szCs w:val="21"/>
                    </w:rPr>
                  </w:pPr>
                  <w:r>
                    <w:rPr>
                      <w:rFonts w:hint="eastAsia"/>
                      <w:bCs/>
                      <w:szCs w:val="21"/>
                    </w:rPr>
                    <w:t>压滤机清洗用水</w:t>
                  </w:r>
                </w:p>
              </w:tc>
              <w:tc>
                <w:tcPr>
                  <w:tcW w:w="1156" w:type="pct"/>
                  <w:vAlign w:val="center"/>
                </w:tcPr>
                <w:p>
                  <w:pPr>
                    <w:snapToGrid w:val="0"/>
                    <w:jc w:val="center"/>
                    <w:rPr>
                      <w:bCs/>
                      <w:szCs w:val="21"/>
                    </w:rPr>
                  </w:pPr>
                  <w:r>
                    <w:rPr>
                      <w:rFonts w:hint="eastAsia"/>
                      <w:bCs/>
                      <w:szCs w:val="21"/>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vAlign w:val="center"/>
                </w:tcPr>
                <w:p>
                  <w:pPr>
                    <w:snapToGrid w:val="0"/>
                    <w:jc w:val="center"/>
                    <w:rPr>
                      <w:szCs w:val="21"/>
                    </w:rPr>
                  </w:pPr>
                  <w:r>
                    <w:rPr>
                      <w:rFonts w:hint="eastAsia"/>
                      <w:szCs w:val="21"/>
                    </w:rPr>
                    <w:t>/</w:t>
                  </w:r>
                </w:p>
              </w:tc>
              <w:tc>
                <w:tcPr>
                  <w:tcW w:w="1104" w:type="pct"/>
                  <w:vAlign w:val="center"/>
                </w:tcPr>
                <w:p>
                  <w:pPr>
                    <w:snapToGrid w:val="0"/>
                    <w:jc w:val="center"/>
                    <w:rPr>
                      <w:szCs w:val="21"/>
                    </w:rPr>
                  </w:pPr>
                  <w:r>
                    <w:rPr>
                      <w:rFonts w:hint="eastAsia"/>
                      <w:szCs w:val="21"/>
                    </w:rPr>
                    <w:t>/</w:t>
                  </w:r>
                </w:p>
              </w:tc>
              <w:tc>
                <w:tcPr>
                  <w:tcW w:w="1571" w:type="pct"/>
                  <w:vAlign w:val="center"/>
                </w:tcPr>
                <w:p>
                  <w:pPr>
                    <w:snapToGrid w:val="0"/>
                    <w:jc w:val="center"/>
                    <w:rPr>
                      <w:bCs/>
                      <w:szCs w:val="21"/>
                    </w:rPr>
                  </w:pPr>
                  <w:r>
                    <w:rPr>
                      <w:rFonts w:hint="eastAsia"/>
                      <w:bCs/>
                      <w:szCs w:val="21"/>
                    </w:rPr>
                    <w:t>地面清洗用水</w:t>
                  </w:r>
                </w:p>
              </w:tc>
              <w:tc>
                <w:tcPr>
                  <w:tcW w:w="1156" w:type="pct"/>
                  <w:vAlign w:val="center"/>
                </w:tcPr>
                <w:p>
                  <w:pPr>
                    <w:snapToGrid w:val="0"/>
                    <w:jc w:val="center"/>
                    <w:rPr>
                      <w:bCs/>
                      <w:szCs w:val="21"/>
                    </w:rPr>
                  </w:pPr>
                  <w:r>
                    <w:rPr>
                      <w:rFonts w:hint="eastAsia"/>
                      <w:bCs/>
                      <w:szCs w:val="21"/>
                    </w:rPr>
                    <w:t>720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vAlign w:val="center"/>
                </w:tcPr>
                <w:p>
                  <w:pPr>
                    <w:snapToGrid w:val="0"/>
                    <w:jc w:val="center"/>
                    <w:rPr>
                      <w:szCs w:val="21"/>
                    </w:rPr>
                  </w:pPr>
                  <w:r>
                    <w:rPr>
                      <w:rFonts w:hint="eastAsia"/>
                      <w:szCs w:val="21"/>
                    </w:rPr>
                    <w:t>/</w:t>
                  </w:r>
                </w:p>
              </w:tc>
              <w:tc>
                <w:tcPr>
                  <w:tcW w:w="1104" w:type="pct"/>
                  <w:vAlign w:val="center"/>
                </w:tcPr>
                <w:p>
                  <w:pPr>
                    <w:snapToGrid w:val="0"/>
                    <w:jc w:val="center"/>
                    <w:rPr>
                      <w:szCs w:val="21"/>
                    </w:rPr>
                  </w:pPr>
                  <w:r>
                    <w:rPr>
                      <w:rFonts w:hint="eastAsia"/>
                      <w:szCs w:val="21"/>
                    </w:rPr>
                    <w:t>/</w:t>
                  </w:r>
                </w:p>
              </w:tc>
              <w:tc>
                <w:tcPr>
                  <w:tcW w:w="1571" w:type="pct"/>
                  <w:vAlign w:val="center"/>
                </w:tcPr>
                <w:p>
                  <w:pPr>
                    <w:snapToGrid w:val="0"/>
                    <w:jc w:val="center"/>
                    <w:rPr>
                      <w:bCs/>
                      <w:szCs w:val="21"/>
                    </w:rPr>
                  </w:pPr>
                  <w:r>
                    <w:rPr>
                      <w:rFonts w:hint="eastAsia"/>
                      <w:bCs/>
                      <w:szCs w:val="21"/>
                    </w:rPr>
                    <w:t>车辆清洗用水</w:t>
                  </w:r>
                </w:p>
              </w:tc>
              <w:tc>
                <w:tcPr>
                  <w:tcW w:w="1156" w:type="pct"/>
                  <w:vAlign w:val="center"/>
                </w:tcPr>
                <w:p>
                  <w:pPr>
                    <w:snapToGrid w:val="0"/>
                    <w:jc w:val="center"/>
                    <w:rPr>
                      <w:bCs/>
                      <w:szCs w:val="21"/>
                    </w:rPr>
                  </w:pPr>
                  <w:r>
                    <w:rPr>
                      <w:rFonts w:hint="eastAsia"/>
                      <w:bCs/>
                      <w:szCs w:val="21"/>
                    </w:rPr>
                    <w:t>1200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vAlign w:val="center"/>
                </w:tcPr>
                <w:p>
                  <w:pPr>
                    <w:snapToGrid w:val="0"/>
                    <w:jc w:val="center"/>
                    <w:rPr>
                      <w:szCs w:val="21"/>
                    </w:rPr>
                  </w:pPr>
                  <w:r>
                    <w:rPr>
                      <w:rFonts w:hint="eastAsia"/>
                      <w:szCs w:val="21"/>
                    </w:rPr>
                    <w:t>/</w:t>
                  </w:r>
                </w:p>
              </w:tc>
              <w:tc>
                <w:tcPr>
                  <w:tcW w:w="1104" w:type="pct"/>
                  <w:vAlign w:val="center"/>
                </w:tcPr>
                <w:p>
                  <w:pPr>
                    <w:snapToGrid w:val="0"/>
                    <w:jc w:val="center"/>
                    <w:rPr>
                      <w:szCs w:val="21"/>
                    </w:rPr>
                  </w:pPr>
                  <w:r>
                    <w:rPr>
                      <w:rFonts w:hint="eastAsia"/>
                      <w:szCs w:val="21"/>
                    </w:rPr>
                    <w:t>/</w:t>
                  </w:r>
                </w:p>
              </w:tc>
              <w:tc>
                <w:tcPr>
                  <w:tcW w:w="1571" w:type="pct"/>
                  <w:vAlign w:val="center"/>
                </w:tcPr>
                <w:p>
                  <w:pPr>
                    <w:snapToGrid w:val="0"/>
                    <w:jc w:val="center"/>
                    <w:rPr>
                      <w:bCs/>
                      <w:szCs w:val="21"/>
                    </w:rPr>
                  </w:pPr>
                  <w:r>
                    <w:rPr>
                      <w:rFonts w:hint="eastAsia"/>
                      <w:bCs/>
                      <w:szCs w:val="21"/>
                    </w:rPr>
                    <w:t>洒水降尘用水</w:t>
                  </w:r>
                </w:p>
              </w:tc>
              <w:tc>
                <w:tcPr>
                  <w:tcW w:w="1156" w:type="pct"/>
                  <w:vAlign w:val="center"/>
                </w:tcPr>
                <w:p>
                  <w:pPr>
                    <w:snapToGrid w:val="0"/>
                    <w:jc w:val="center"/>
                    <w:rPr>
                      <w:bCs/>
                      <w:szCs w:val="21"/>
                    </w:rPr>
                  </w:pPr>
                  <w:r>
                    <w:rPr>
                      <w:rFonts w:hint="eastAsia"/>
                      <w:bCs/>
                      <w:szCs w:val="21"/>
                    </w:rPr>
                    <w:t>1200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vAlign w:val="center"/>
                </w:tcPr>
                <w:p>
                  <w:pPr>
                    <w:snapToGrid w:val="0"/>
                    <w:jc w:val="center"/>
                    <w:rPr>
                      <w:bCs/>
                      <w:szCs w:val="21"/>
                    </w:rPr>
                  </w:pPr>
                  <w:r>
                    <w:rPr>
                      <w:rFonts w:hint="eastAsia"/>
                      <w:szCs w:val="21"/>
                    </w:rPr>
                    <w:t>/</w:t>
                  </w:r>
                </w:p>
              </w:tc>
              <w:tc>
                <w:tcPr>
                  <w:tcW w:w="1104" w:type="pct"/>
                  <w:vAlign w:val="center"/>
                </w:tcPr>
                <w:p>
                  <w:pPr>
                    <w:snapToGrid w:val="0"/>
                    <w:jc w:val="center"/>
                    <w:rPr>
                      <w:bCs/>
                      <w:szCs w:val="21"/>
                    </w:rPr>
                  </w:pPr>
                  <w:r>
                    <w:rPr>
                      <w:rFonts w:hint="eastAsia"/>
                      <w:szCs w:val="21"/>
                    </w:rPr>
                    <w:t>/</w:t>
                  </w:r>
                </w:p>
              </w:tc>
              <w:tc>
                <w:tcPr>
                  <w:tcW w:w="1571" w:type="pct"/>
                  <w:vAlign w:val="center"/>
                </w:tcPr>
                <w:p>
                  <w:pPr>
                    <w:snapToGrid w:val="0"/>
                    <w:jc w:val="center"/>
                    <w:rPr>
                      <w:bCs/>
                      <w:szCs w:val="21"/>
                    </w:rPr>
                  </w:pPr>
                  <w:r>
                    <w:rPr>
                      <w:rFonts w:hint="eastAsia"/>
                      <w:bCs/>
                      <w:szCs w:val="21"/>
                    </w:rPr>
                    <w:t>洗煤用水</w:t>
                  </w:r>
                </w:p>
                <w:p>
                  <w:pPr>
                    <w:snapToGrid w:val="0"/>
                    <w:jc w:val="center"/>
                    <w:rPr>
                      <w:bCs/>
                      <w:szCs w:val="21"/>
                    </w:rPr>
                  </w:pPr>
                  <w:r>
                    <w:rPr>
                      <w:rFonts w:hint="eastAsia"/>
                      <w:bCs/>
                      <w:szCs w:val="21"/>
                    </w:rPr>
                    <w:t>（未进入产品部分）</w:t>
                  </w:r>
                </w:p>
              </w:tc>
              <w:tc>
                <w:tcPr>
                  <w:tcW w:w="1156" w:type="pct"/>
                  <w:vAlign w:val="center"/>
                </w:tcPr>
                <w:p>
                  <w:pPr>
                    <w:snapToGrid w:val="0"/>
                    <w:jc w:val="center"/>
                    <w:rPr>
                      <w:bCs/>
                      <w:szCs w:val="21"/>
                    </w:rPr>
                  </w:pPr>
                  <w:r>
                    <w:rPr>
                      <w:rFonts w:hint="eastAsia"/>
                      <w:bCs/>
                      <w:szCs w:val="21"/>
                    </w:rPr>
                    <w:t>16992.176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tcPr>
                <w:p>
                  <w:pPr>
                    <w:snapToGrid w:val="0"/>
                    <w:jc w:val="center"/>
                    <w:rPr>
                      <w:bCs/>
                      <w:szCs w:val="21"/>
                    </w:rPr>
                  </w:pPr>
                  <w:r>
                    <w:rPr>
                      <w:kern w:val="0"/>
                      <w:szCs w:val="21"/>
                    </w:rPr>
                    <w:t>总计</w:t>
                  </w:r>
                </w:p>
              </w:tc>
              <w:tc>
                <w:tcPr>
                  <w:tcW w:w="1104" w:type="pct"/>
                </w:tcPr>
                <w:p>
                  <w:pPr>
                    <w:snapToGrid w:val="0"/>
                    <w:jc w:val="center"/>
                    <w:rPr>
                      <w:bCs/>
                      <w:szCs w:val="21"/>
                    </w:rPr>
                  </w:pPr>
                  <w:r>
                    <w:rPr>
                      <w:bCs/>
                      <w:szCs w:val="21"/>
                    </w:rPr>
                    <w:t>321372.06t/a</w:t>
                  </w:r>
                </w:p>
              </w:tc>
              <w:tc>
                <w:tcPr>
                  <w:tcW w:w="1571" w:type="pct"/>
                  <w:vAlign w:val="center"/>
                </w:tcPr>
                <w:p>
                  <w:pPr>
                    <w:snapToGrid w:val="0"/>
                    <w:jc w:val="center"/>
                    <w:rPr>
                      <w:kern w:val="0"/>
                      <w:szCs w:val="21"/>
                    </w:rPr>
                  </w:pPr>
                  <w:r>
                    <w:rPr>
                      <w:kern w:val="0"/>
                      <w:szCs w:val="21"/>
                    </w:rPr>
                    <w:t>总计</w:t>
                  </w:r>
                </w:p>
              </w:tc>
              <w:tc>
                <w:tcPr>
                  <w:tcW w:w="1156" w:type="pct"/>
                  <w:vAlign w:val="center"/>
                </w:tcPr>
                <w:p>
                  <w:pPr>
                    <w:snapToGrid w:val="0"/>
                    <w:jc w:val="center"/>
                    <w:rPr>
                      <w:bCs/>
                      <w:szCs w:val="21"/>
                    </w:rPr>
                  </w:pPr>
                  <w:r>
                    <w:rPr>
                      <w:bCs/>
                      <w:szCs w:val="21"/>
                    </w:rPr>
                    <w:t>321372.006t/a</w:t>
                  </w:r>
                </w:p>
              </w:tc>
            </w:tr>
          </w:tbl>
          <w:p>
            <w:pPr>
              <w:pStyle w:val="85"/>
              <w:ind w:firstLine="482"/>
              <w:rPr>
                <w:rFonts w:eastAsia="宋体"/>
              </w:rPr>
            </w:pPr>
            <w:r>
              <w:rPr>
                <w:rFonts w:eastAsia="宋体"/>
              </w:rPr>
              <w:t>四、主要设备及原辅材料</w:t>
            </w:r>
          </w:p>
          <w:p>
            <w:pPr>
              <w:spacing w:line="500" w:lineRule="exact"/>
              <w:ind w:firstLine="480" w:firstLineChars="200"/>
              <w:rPr>
                <w:kern w:val="0"/>
                <w:sz w:val="24"/>
              </w:rPr>
            </w:pPr>
            <w:r>
              <w:rPr>
                <w:rFonts w:hint="eastAsia"/>
                <w:kern w:val="0"/>
                <w:sz w:val="24"/>
              </w:rPr>
              <w:t>现有工程项目主要生产设备清单见下表</w:t>
            </w:r>
            <w:r>
              <w:rPr>
                <w:kern w:val="0"/>
                <w:sz w:val="24"/>
              </w:rPr>
              <w:t>。</w:t>
            </w:r>
          </w:p>
          <w:p>
            <w:pPr>
              <w:jc w:val="center"/>
              <w:rPr>
                <w:b/>
                <w:bCs/>
                <w:sz w:val="24"/>
              </w:rPr>
            </w:pPr>
            <w:r>
              <w:rPr>
                <w:b/>
                <w:bCs/>
                <w:sz w:val="24"/>
              </w:rPr>
              <w:t>表2-</w:t>
            </w:r>
            <w:r>
              <w:rPr>
                <w:rFonts w:hint="eastAsia"/>
                <w:b/>
                <w:bCs/>
                <w:sz w:val="24"/>
              </w:rPr>
              <w:t>5 本项目主要生产设备一览表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2"/>
              <w:gridCol w:w="3574"/>
              <w:gridCol w:w="1493"/>
              <w:gridCol w:w="13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pPr>
                    <w:jc w:val="center"/>
                    <w:textAlignment w:val="center"/>
                    <w:rPr>
                      <w:szCs w:val="21"/>
                    </w:rPr>
                  </w:pPr>
                  <w:r>
                    <w:rPr>
                      <w:szCs w:val="21"/>
                    </w:rPr>
                    <w:t>序号</w:t>
                  </w:r>
                </w:p>
              </w:tc>
              <w:tc>
                <w:tcPr>
                  <w:tcW w:w="3574" w:type="dxa"/>
                  <w:vAlign w:val="center"/>
                </w:tcPr>
                <w:p>
                  <w:pPr>
                    <w:jc w:val="center"/>
                    <w:rPr>
                      <w:szCs w:val="21"/>
                    </w:rPr>
                  </w:pPr>
                  <w:r>
                    <w:rPr>
                      <w:szCs w:val="21"/>
                    </w:rPr>
                    <w:t>设备名称</w:t>
                  </w:r>
                </w:p>
              </w:tc>
              <w:tc>
                <w:tcPr>
                  <w:tcW w:w="1493" w:type="dxa"/>
                  <w:vAlign w:val="center"/>
                </w:tcPr>
                <w:p>
                  <w:pPr>
                    <w:jc w:val="center"/>
                    <w:textAlignment w:val="center"/>
                    <w:rPr>
                      <w:szCs w:val="21"/>
                    </w:rPr>
                  </w:pPr>
                  <w:r>
                    <w:rPr>
                      <w:szCs w:val="21"/>
                    </w:rPr>
                    <w:t>单 位</w:t>
                  </w:r>
                </w:p>
              </w:tc>
              <w:tc>
                <w:tcPr>
                  <w:tcW w:w="1356" w:type="dxa"/>
                  <w:vAlign w:val="center"/>
                </w:tcPr>
                <w:p>
                  <w:pPr>
                    <w:jc w:val="center"/>
                    <w:textAlignment w:val="center"/>
                    <w:rPr>
                      <w:szCs w:val="21"/>
                    </w:rPr>
                  </w:pPr>
                  <w:r>
                    <w:rPr>
                      <w:szCs w:val="21"/>
                    </w:rPr>
                    <w:t>数 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pPr>
                    <w:jc w:val="center"/>
                    <w:textAlignment w:val="center"/>
                    <w:rPr>
                      <w:szCs w:val="21"/>
                    </w:rPr>
                  </w:pPr>
                  <w:r>
                    <w:rPr>
                      <w:szCs w:val="21"/>
                    </w:rPr>
                    <w:t>1</w:t>
                  </w:r>
                </w:p>
              </w:tc>
              <w:tc>
                <w:tcPr>
                  <w:tcW w:w="3574" w:type="dxa"/>
                  <w:vAlign w:val="center"/>
                </w:tcPr>
                <w:p>
                  <w:pPr>
                    <w:jc w:val="center"/>
                    <w:textAlignment w:val="center"/>
                    <w:rPr>
                      <w:szCs w:val="21"/>
                    </w:rPr>
                  </w:pPr>
                  <w:r>
                    <w:rPr>
                      <w:rFonts w:hint="eastAsia"/>
                      <w:szCs w:val="21"/>
                    </w:rPr>
                    <w:t>skt12-3跳汰机</w:t>
                  </w:r>
                </w:p>
              </w:tc>
              <w:tc>
                <w:tcPr>
                  <w:tcW w:w="1493" w:type="dxa"/>
                  <w:vAlign w:val="center"/>
                </w:tcPr>
                <w:p>
                  <w:pPr>
                    <w:jc w:val="center"/>
                    <w:textAlignment w:val="center"/>
                    <w:rPr>
                      <w:szCs w:val="21"/>
                    </w:rPr>
                  </w:pPr>
                  <w:r>
                    <w:rPr>
                      <w:rFonts w:hint="eastAsia"/>
                      <w:szCs w:val="21"/>
                    </w:rPr>
                    <w:t>台</w:t>
                  </w:r>
                </w:p>
              </w:tc>
              <w:tc>
                <w:tcPr>
                  <w:tcW w:w="1356" w:type="dxa"/>
                  <w:vAlign w:val="center"/>
                </w:tcPr>
                <w:p>
                  <w:pPr>
                    <w:jc w:val="center"/>
                    <w:textAlignment w:val="center"/>
                    <w:rPr>
                      <w:szCs w:val="21"/>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pPr>
                    <w:jc w:val="center"/>
                    <w:textAlignment w:val="center"/>
                    <w:rPr>
                      <w:szCs w:val="21"/>
                    </w:rPr>
                  </w:pPr>
                  <w:r>
                    <w:rPr>
                      <w:szCs w:val="21"/>
                    </w:rPr>
                    <w:t>2</w:t>
                  </w:r>
                </w:p>
              </w:tc>
              <w:tc>
                <w:tcPr>
                  <w:tcW w:w="3574" w:type="dxa"/>
                  <w:vAlign w:val="center"/>
                </w:tcPr>
                <w:p>
                  <w:pPr>
                    <w:jc w:val="center"/>
                    <w:textAlignment w:val="center"/>
                    <w:rPr>
                      <w:szCs w:val="21"/>
                    </w:rPr>
                  </w:pPr>
                  <w:r>
                    <w:rPr>
                      <w:rFonts w:hint="eastAsia"/>
                      <w:szCs w:val="21"/>
                    </w:rPr>
                    <w:t>滚筒洗石机</w:t>
                  </w:r>
                </w:p>
              </w:tc>
              <w:tc>
                <w:tcPr>
                  <w:tcW w:w="1493" w:type="dxa"/>
                  <w:vAlign w:val="center"/>
                </w:tcPr>
                <w:p>
                  <w:pPr>
                    <w:jc w:val="center"/>
                    <w:textAlignment w:val="center"/>
                    <w:rPr>
                      <w:szCs w:val="21"/>
                    </w:rPr>
                  </w:pPr>
                  <w:r>
                    <w:rPr>
                      <w:rFonts w:hint="eastAsia"/>
                      <w:szCs w:val="21"/>
                    </w:rPr>
                    <w:t>台</w:t>
                  </w:r>
                </w:p>
              </w:tc>
              <w:tc>
                <w:tcPr>
                  <w:tcW w:w="1356" w:type="dxa"/>
                  <w:vAlign w:val="center"/>
                </w:tcPr>
                <w:p>
                  <w:pPr>
                    <w:jc w:val="center"/>
                    <w:textAlignment w:val="center"/>
                    <w:rPr>
                      <w:szCs w:val="21"/>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1262" w:type="dxa"/>
                  <w:vAlign w:val="center"/>
                </w:tcPr>
                <w:p>
                  <w:pPr>
                    <w:jc w:val="center"/>
                    <w:textAlignment w:val="center"/>
                    <w:rPr>
                      <w:szCs w:val="21"/>
                    </w:rPr>
                  </w:pPr>
                  <w:r>
                    <w:rPr>
                      <w:szCs w:val="21"/>
                    </w:rPr>
                    <w:t>3</w:t>
                  </w:r>
                </w:p>
              </w:tc>
              <w:tc>
                <w:tcPr>
                  <w:tcW w:w="3574" w:type="dxa"/>
                  <w:vAlign w:val="center"/>
                </w:tcPr>
                <w:p>
                  <w:pPr>
                    <w:jc w:val="center"/>
                    <w:textAlignment w:val="center"/>
                    <w:rPr>
                      <w:szCs w:val="21"/>
                    </w:rPr>
                  </w:pPr>
                  <w:r>
                    <w:rPr>
                      <w:rFonts w:hint="eastAsia"/>
                      <w:szCs w:val="21"/>
                    </w:rPr>
                    <w:t>GSNG型浓缩机</w:t>
                  </w:r>
                </w:p>
              </w:tc>
              <w:tc>
                <w:tcPr>
                  <w:tcW w:w="1493" w:type="dxa"/>
                  <w:vAlign w:val="center"/>
                </w:tcPr>
                <w:p>
                  <w:pPr>
                    <w:jc w:val="center"/>
                    <w:textAlignment w:val="center"/>
                    <w:rPr>
                      <w:szCs w:val="21"/>
                    </w:rPr>
                  </w:pPr>
                  <w:r>
                    <w:rPr>
                      <w:rFonts w:hint="eastAsia"/>
                      <w:szCs w:val="21"/>
                    </w:rPr>
                    <w:t>台</w:t>
                  </w:r>
                </w:p>
              </w:tc>
              <w:tc>
                <w:tcPr>
                  <w:tcW w:w="1356" w:type="dxa"/>
                  <w:vAlign w:val="center"/>
                </w:tcPr>
                <w:p>
                  <w:pPr>
                    <w:jc w:val="center"/>
                    <w:textAlignment w:val="center"/>
                    <w:rPr>
                      <w:szCs w:val="21"/>
                    </w:rPr>
                  </w:pPr>
                  <w:r>
                    <w:rPr>
                      <w:rFonts w:hint="eastAsia"/>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pPr>
                    <w:jc w:val="center"/>
                    <w:textAlignment w:val="center"/>
                    <w:rPr>
                      <w:szCs w:val="21"/>
                    </w:rPr>
                  </w:pPr>
                  <w:r>
                    <w:rPr>
                      <w:szCs w:val="21"/>
                    </w:rPr>
                    <w:t>4</w:t>
                  </w:r>
                </w:p>
              </w:tc>
              <w:tc>
                <w:tcPr>
                  <w:tcW w:w="3574" w:type="dxa"/>
                  <w:vAlign w:val="center"/>
                </w:tcPr>
                <w:p>
                  <w:pPr>
                    <w:jc w:val="center"/>
                    <w:textAlignment w:val="center"/>
                    <w:rPr>
                      <w:szCs w:val="21"/>
                    </w:rPr>
                  </w:pPr>
                  <w:r>
                    <w:rPr>
                      <w:rFonts w:hint="eastAsia"/>
                      <w:szCs w:val="21"/>
                    </w:rPr>
                    <w:t>斗式提升机</w:t>
                  </w:r>
                </w:p>
              </w:tc>
              <w:tc>
                <w:tcPr>
                  <w:tcW w:w="1493" w:type="dxa"/>
                  <w:vAlign w:val="center"/>
                </w:tcPr>
                <w:p>
                  <w:pPr>
                    <w:jc w:val="center"/>
                    <w:textAlignment w:val="center"/>
                    <w:rPr>
                      <w:szCs w:val="21"/>
                    </w:rPr>
                  </w:pPr>
                  <w:r>
                    <w:rPr>
                      <w:rFonts w:hint="eastAsia"/>
                      <w:szCs w:val="21"/>
                    </w:rPr>
                    <w:t>台</w:t>
                  </w:r>
                </w:p>
              </w:tc>
              <w:tc>
                <w:tcPr>
                  <w:tcW w:w="1356" w:type="dxa"/>
                  <w:vAlign w:val="center"/>
                </w:tcPr>
                <w:p>
                  <w:pPr>
                    <w:jc w:val="center"/>
                    <w:textAlignment w:val="center"/>
                    <w:rPr>
                      <w:szCs w:val="21"/>
                    </w:rPr>
                  </w:pPr>
                  <w:r>
                    <w:rPr>
                      <w:rFonts w:hint="eastAsia"/>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pPr>
                    <w:jc w:val="center"/>
                    <w:textAlignment w:val="center"/>
                    <w:rPr>
                      <w:szCs w:val="21"/>
                    </w:rPr>
                  </w:pPr>
                  <w:r>
                    <w:rPr>
                      <w:szCs w:val="21"/>
                    </w:rPr>
                    <w:t>5</w:t>
                  </w:r>
                </w:p>
              </w:tc>
              <w:tc>
                <w:tcPr>
                  <w:tcW w:w="3574" w:type="dxa"/>
                  <w:vAlign w:val="center"/>
                </w:tcPr>
                <w:p>
                  <w:pPr>
                    <w:jc w:val="center"/>
                    <w:textAlignment w:val="center"/>
                    <w:rPr>
                      <w:szCs w:val="21"/>
                    </w:rPr>
                  </w:pPr>
                  <w:r>
                    <w:rPr>
                      <w:rFonts w:hint="eastAsia"/>
                      <w:szCs w:val="21"/>
                    </w:rPr>
                    <w:t>风箱</w:t>
                  </w:r>
                </w:p>
              </w:tc>
              <w:tc>
                <w:tcPr>
                  <w:tcW w:w="1493" w:type="dxa"/>
                </w:tcPr>
                <w:p>
                  <w:pPr>
                    <w:jc w:val="center"/>
                    <w:textAlignment w:val="center"/>
                    <w:rPr>
                      <w:szCs w:val="21"/>
                    </w:rPr>
                  </w:pPr>
                  <w:r>
                    <w:rPr>
                      <w:rFonts w:hint="eastAsia"/>
                      <w:szCs w:val="21"/>
                    </w:rPr>
                    <w:t>个</w:t>
                  </w:r>
                </w:p>
              </w:tc>
              <w:tc>
                <w:tcPr>
                  <w:tcW w:w="1356" w:type="dxa"/>
                  <w:vAlign w:val="center"/>
                </w:tcPr>
                <w:p>
                  <w:pPr>
                    <w:jc w:val="center"/>
                    <w:textAlignment w:val="center"/>
                    <w:rPr>
                      <w:szCs w:val="21"/>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pPr>
                    <w:jc w:val="center"/>
                    <w:textAlignment w:val="center"/>
                    <w:rPr>
                      <w:szCs w:val="21"/>
                    </w:rPr>
                  </w:pPr>
                  <w:r>
                    <w:rPr>
                      <w:szCs w:val="21"/>
                    </w:rPr>
                    <w:t>6</w:t>
                  </w:r>
                </w:p>
              </w:tc>
              <w:tc>
                <w:tcPr>
                  <w:tcW w:w="3574" w:type="dxa"/>
                  <w:vAlign w:val="center"/>
                </w:tcPr>
                <w:p>
                  <w:pPr>
                    <w:jc w:val="center"/>
                    <w:textAlignment w:val="center"/>
                    <w:rPr>
                      <w:szCs w:val="21"/>
                    </w:rPr>
                  </w:pPr>
                  <w:r>
                    <w:rPr>
                      <w:rFonts w:hint="eastAsia"/>
                      <w:szCs w:val="21"/>
                    </w:rPr>
                    <w:t>离心机</w:t>
                  </w:r>
                </w:p>
              </w:tc>
              <w:tc>
                <w:tcPr>
                  <w:tcW w:w="1493" w:type="dxa"/>
                </w:tcPr>
                <w:p>
                  <w:pPr>
                    <w:jc w:val="center"/>
                    <w:textAlignment w:val="center"/>
                    <w:rPr>
                      <w:szCs w:val="21"/>
                    </w:rPr>
                  </w:pPr>
                  <w:r>
                    <w:rPr>
                      <w:rFonts w:hint="eastAsia"/>
                      <w:szCs w:val="21"/>
                    </w:rPr>
                    <w:t>台</w:t>
                  </w:r>
                </w:p>
              </w:tc>
              <w:tc>
                <w:tcPr>
                  <w:tcW w:w="1356" w:type="dxa"/>
                  <w:vAlign w:val="center"/>
                </w:tcPr>
                <w:p>
                  <w:pPr>
                    <w:jc w:val="center"/>
                    <w:textAlignment w:val="center"/>
                    <w:rPr>
                      <w:szCs w:val="21"/>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1262" w:type="dxa"/>
                  <w:vAlign w:val="center"/>
                </w:tcPr>
                <w:p>
                  <w:pPr>
                    <w:jc w:val="center"/>
                    <w:textAlignment w:val="center"/>
                    <w:rPr>
                      <w:szCs w:val="21"/>
                    </w:rPr>
                  </w:pPr>
                  <w:r>
                    <w:rPr>
                      <w:rFonts w:hint="eastAsia"/>
                      <w:szCs w:val="21"/>
                    </w:rPr>
                    <w:t>7</w:t>
                  </w:r>
                </w:p>
              </w:tc>
              <w:tc>
                <w:tcPr>
                  <w:tcW w:w="3574" w:type="dxa"/>
                  <w:vAlign w:val="center"/>
                </w:tcPr>
                <w:p>
                  <w:pPr>
                    <w:jc w:val="center"/>
                    <w:textAlignment w:val="center"/>
                    <w:rPr>
                      <w:szCs w:val="21"/>
                    </w:rPr>
                  </w:pPr>
                  <w:r>
                    <w:rPr>
                      <w:rFonts w:hint="eastAsia"/>
                      <w:szCs w:val="21"/>
                    </w:rPr>
                    <w:t>智能选煤数控</w:t>
                  </w:r>
                </w:p>
              </w:tc>
              <w:tc>
                <w:tcPr>
                  <w:tcW w:w="1493" w:type="dxa"/>
                </w:tcPr>
                <w:p>
                  <w:pPr>
                    <w:jc w:val="center"/>
                    <w:textAlignment w:val="center"/>
                    <w:rPr>
                      <w:szCs w:val="21"/>
                    </w:rPr>
                  </w:pPr>
                  <w:r>
                    <w:rPr>
                      <w:rFonts w:hint="eastAsia"/>
                      <w:szCs w:val="21"/>
                    </w:rPr>
                    <w:t>台</w:t>
                  </w:r>
                </w:p>
              </w:tc>
              <w:tc>
                <w:tcPr>
                  <w:tcW w:w="1356" w:type="dxa"/>
                  <w:vAlign w:val="center"/>
                </w:tcPr>
                <w:p>
                  <w:pPr>
                    <w:jc w:val="center"/>
                    <w:textAlignment w:val="center"/>
                    <w:rPr>
                      <w:szCs w:val="21"/>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pPr>
                    <w:jc w:val="center"/>
                    <w:textAlignment w:val="center"/>
                    <w:rPr>
                      <w:szCs w:val="21"/>
                    </w:rPr>
                  </w:pPr>
                  <w:r>
                    <w:rPr>
                      <w:rFonts w:hint="eastAsia"/>
                      <w:szCs w:val="21"/>
                    </w:rPr>
                    <w:t>8</w:t>
                  </w:r>
                </w:p>
              </w:tc>
              <w:tc>
                <w:tcPr>
                  <w:tcW w:w="3574" w:type="dxa"/>
                  <w:vAlign w:val="center"/>
                </w:tcPr>
                <w:p>
                  <w:pPr>
                    <w:jc w:val="center"/>
                    <w:textAlignment w:val="center"/>
                    <w:rPr>
                      <w:szCs w:val="21"/>
                    </w:rPr>
                  </w:pPr>
                  <w:r>
                    <w:rPr>
                      <w:rFonts w:hint="eastAsia"/>
                      <w:szCs w:val="21"/>
                    </w:rPr>
                    <w:t>300 箱式压滤机</w:t>
                  </w:r>
                </w:p>
              </w:tc>
              <w:tc>
                <w:tcPr>
                  <w:tcW w:w="1493" w:type="dxa"/>
                  <w:vAlign w:val="center"/>
                </w:tcPr>
                <w:p>
                  <w:pPr>
                    <w:jc w:val="center"/>
                    <w:textAlignment w:val="center"/>
                    <w:rPr>
                      <w:szCs w:val="21"/>
                    </w:rPr>
                  </w:pPr>
                  <w:r>
                    <w:rPr>
                      <w:rFonts w:hint="eastAsia"/>
                      <w:szCs w:val="21"/>
                    </w:rPr>
                    <w:t>台</w:t>
                  </w:r>
                </w:p>
              </w:tc>
              <w:tc>
                <w:tcPr>
                  <w:tcW w:w="1356" w:type="dxa"/>
                  <w:vAlign w:val="center"/>
                </w:tcPr>
                <w:p>
                  <w:pPr>
                    <w:jc w:val="center"/>
                    <w:textAlignment w:val="center"/>
                    <w:rPr>
                      <w:szCs w:val="21"/>
                    </w:rPr>
                  </w:pPr>
                  <w:r>
                    <w:rPr>
                      <w:rFonts w:hint="eastAsia"/>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pPr>
                    <w:jc w:val="center"/>
                    <w:textAlignment w:val="center"/>
                    <w:rPr>
                      <w:szCs w:val="21"/>
                    </w:rPr>
                  </w:pPr>
                  <w:r>
                    <w:rPr>
                      <w:rFonts w:hint="eastAsia"/>
                      <w:szCs w:val="21"/>
                    </w:rPr>
                    <w:t>9</w:t>
                  </w:r>
                </w:p>
              </w:tc>
              <w:tc>
                <w:tcPr>
                  <w:tcW w:w="3574" w:type="dxa"/>
                  <w:vAlign w:val="center"/>
                </w:tcPr>
                <w:p>
                  <w:pPr>
                    <w:jc w:val="center"/>
                    <w:textAlignment w:val="center"/>
                    <w:rPr>
                      <w:szCs w:val="21"/>
                    </w:rPr>
                  </w:pPr>
                  <w:r>
                    <w:rPr>
                      <w:rFonts w:hint="eastAsia"/>
                      <w:szCs w:val="21"/>
                    </w:rPr>
                    <w:t>NWSR300 罗茨风机</w:t>
                  </w:r>
                </w:p>
              </w:tc>
              <w:tc>
                <w:tcPr>
                  <w:tcW w:w="1493" w:type="dxa"/>
                  <w:vAlign w:val="center"/>
                </w:tcPr>
                <w:p>
                  <w:pPr>
                    <w:jc w:val="center"/>
                    <w:textAlignment w:val="center"/>
                    <w:rPr>
                      <w:szCs w:val="21"/>
                    </w:rPr>
                  </w:pPr>
                  <w:r>
                    <w:rPr>
                      <w:rFonts w:hint="eastAsia"/>
                      <w:szCs w:val="21"/>
                    </w:rPr>
                    <w:t>台</w:t>
                  </w:r>
                </w:p>
              </w:tc>
              <w:tc>
                <w:tcPr>
                  <w:tcW w:w="1356" w:type="dxa"/>
                  <w:vAlign w:val="center"/>
                </w:tcPr>
                <w:p>
                  <w:pPr>
                    <w:jc w:val="center"/>
                    <w:textAlignment w:val="center"/>
                    <w:rPr>
                      <w:szCs w:val="21"/>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pPr>
                    <w:jc w:val="center"/>
                    <w:textAlignment w:val="center"/>
                    <w:rPr>
                      <w:szCs w:val="21"/>
                    </w:rPr>
                  </w:pPr>
                  <w:r>
                    <w:rPr>
                      <w:rFonts w:hint="eastAsia"/>
                      <w:szCs w:val="21"/>
                    </w:rPr>
                    <w:t>10</w:t>
                  </w:r>
                </w:p>
              </w:tc>
              <w:tc>
                <w:tcPr>
                  <w:tcW w:w="3574" w:type="dxa"/>
                  <w:vAlign w:val="center"/>
                </w:tcPr>
                <w:p>
                  <w:pPr>
                    <w:jc w:val="center"/>
                    <w:textAlignment w:val="center"/>
                    <w:rPr>
                      <w:szCs w:val="21"/>
                    </w:rPr>
                  </w:pPr>
                  <w:r>
                    <w:rPr>
                      <w:rFonts w:hint="eastAsia"/>
                      <w:szCs w:val="21"/>
                    </w:rPr>
                    <w:t>渣浆泵</w:t>
                  </w:r>
                </w:p>
              </w:tc>
              <w:tc>
                <w:tcPr>
                  <w:tcW w:w="1493" w:type="dxa"/>
                  <w:vAlign w:val="center"/>
                </w:tcPr>
                <w:p>
                  <w:pPr>
                    <w:jc w:val="center"/>
                    <w:textAlignment w:val="center"/>
                    <w:rPr>
                      <w:szCs w:val="21"/>
                    </w:rPr>
                  </w:pPr>
                  <w:r>
                    <w:rPr>
                      <w:rFonts w:hint="eastAsia"/>
                      <w:szCs w:val="21"/>
                    </w:rPr>
                    <w:t>个</w:t>
                  </w:r>
                </w:p>
              </w:tc>
              <w:tc>
                <w:tcPr>
                  <w:tcW w:w="1356" w:type="dxa"/>
                  <w:vAlign w:val="center"/>
                </w:tcPr>
                <w:p>
                  <w:pPr>
                    <w:jc w:val="center"/>
                    <w:textAlignment w:val="center"/>
                    <w:rPr>
                      <w:szCs w:val="21"/>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1262" w:type="dxa"/>
                  <w:vAlign w:val="center"/>
                </w:tcPr>
                <w:p>
                  <w:pPr>
                    <w:jc w:val="center"/>
                    <w:textAlignment w:val="center"/>
                    <w:rPr>
                      <w:szCs w:val="21"/>
                    </w:rPr>
                  </w:pPr>
                  <w:r>
                    <w:rPr>
                      <w:rFonts w:hint="eastAsia"/>
                      <w:szCs w:val="21"/>
                    </w:rPr>
                    <w:t>11</w:t>
                  </w:r>
                </w:p>
              </w:tc>
              <w:tc>
                <w:tcPr>
                  <w:tcW w:w="3574" w:type="dxa"/>
                  <w:vAlign w:val="center"/>
                </w:tcPr>
                <w:p>
                  <w:pPr>
                    <w:jc w:val="center"/>
                    <w:textAlignment w:val="center"/>
                    <w:rPr>
                      <w:szCs w:val="21"/>
                    </w:rPr>
                  </w:pPr>
                  <w:r>
                    <w:rPr>
                      <w:rFonts w:hint="eastAsia"/>
                      <w:szCs w:val="21"/>
                    </w:rPr>
                    <w:t>循环水泵</w:t>
                  </w:r>
                </w:p>
              </w:tc>
              <w:tc>
                <w:tcPr>
                  <w:tcW w:w="1493" w:type="dxa"/>
                  <w:vAlign w:val="center"/>
                </w:tcPr>
                <w:p>
                  <w:pPr>
                    <w:jc w:val="center"/>
                    <w:textAlignment w:val="center"/>
                    <w:rPr>
                      <w:szCs w:val="21"/>
                    </w:rPr>
                  </w:pPr>
                  <w:r>
                    <w:rPr>
                      <w:rFonts w:hint="eastAsia"/>
                      <w:szCs w:val="21"/>
                    </w:rPr>
                    <w:t>个</w:t>
                  </w:r>
                </w:p>
              </w:tc>
              <w:tc>
                <w:tcPr>
                  <w:tcW w:w="1356" w:type="dxa"/>
                  <w:vAlign w:val="center"/>
                </w:tcPr>
                <w:p>
                  <w:pPr>
                    <w:jc w:val="center"/>
                    <w:textAlignment w:val="center"/>
                    <w:rPr>
                      <w:szCs w:val="21"/>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pPr>
                    <w:jc w:val="center"/>
                    <w:textAlignment w:val="center"/>
                    <w:rPr>
                      <w:szCs w:val="21"/>
                    </w:rPr>
                  </w:pPr>
                  <w:r>
                    <w:rPr>
                      <w:rFonts w:hint="eastAsia"/>
                      <w:szCs w:val="21"/>
                    </w:rPr>
                    <w:t>12</w:t>
                  </w:r>
                </w:p>
              </w:tc>
              <w:tc>
                <w:tcPr>
                  <w:tcW w:w="3574" w:type="dxa"/>
                  <w:vAlign w:val="center"/>
                </w:tcPr>
                <w:p>
                  <w:pPr>
                    <w:jc w:val="center"/>
                    <w:textAlignment w:val="center"/>
                    <w:rPr>
                      <w:szCs w:val="21"/>
                    </w:rPr>
                  </w:pPr>
                  <w:r>
                    <w:rPr>
                      <w:rFonts w:hint="eastAsia"/>
                      <w:szCs w:val="21"/>
                    </w:rPr>
                    <w:t>给煤机</w:t>
                  </w:r>
                </w:p>
              </w:tc>
              <w:tc>
                <w:tcPr>
                  <w:tcW w:w="1493" w:type="dxa"/>
                  <w:vAlign w:val="center"/>
                </w:tcPr>
                <w:p>
                  <w:pPr>
                    <w:jc w:val="center"/>
                    <w:textAlignment w:val="center"/>
                    <w:rPr>
                      <w:szCs w:val="21"/>
                    </w:rPr>
                  </w:pPr>
                  <w:r>
                    <w:rPr>
                      <w:rFonts w:hint="eastAsia"/>
                      <w:szCs w:val="21"/>
                    </w:rPr>
                    <w:t>台</w:t>
                  </w:r>
                </w:p>
              </w:tc>
              <w:tc>
                <w:tcPr>
                  <w:tcW w:w="1356" w:type="dxa"/>
                  <w:vAlign w:val="center"/>
                </w:tcPr>
                <w:p>
                  <w:pPr>
                    <w:jc w:val="center"/>
                    <w:textAlignment w:val="center"/>
                    <w:rPr>
                      <w:szCs w:val="21"/>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pPr>
                    <w:jc w:val="center"/>
                    <w:textAlignment w:val="center"/>
                    <w:rPr>
                      <w:szCs w:val="21"/>
                    </w:rPr>
                  </w:pPr>
                  <w:r>
                    <w:rPr>
                      <w:rFonts w:hint="eastAsia"/>
                      <w:szCs w:val="21"/>
                    </w:rPr>
                    <w:t>13</w:t>
                  </w:r>
                </w:p>
              </w:tc>
              <w:tc>
                <w:tcPr>
                  <w:tcW w:w="3574" w:type="dxa"/>
                  <w:vAlign w:val="center"/>
                </w:tcPr>
                <w:p>
                  <w:pPr>
                    <w:jc w:val="center"/>
                    <w:textAlignment w:val="center"/>
                    <w:rPr>
                      <w:szCs w:val="21"/>
                    </w:rPr>
                  </w:pPr>
                  <w:r>
                    <w:rPr>
                      <w:rFonts w:hint="eastAsia"/>
                      <w:szCs w:val="21"/>
                    </w:rPr>
                    <w:t>螺杆风机</w:t>
                  </w:r>
                </w:p>
              </w:tc>
              <w:tc>
                <w:tcPr>
                  <w:tcW w:w="1493" w:type="dxa"/>
                  <w:vAlign w:val="center"/>
                </w:tcPr>
                <w:p>
                  <w:pPr>
                    <w:jc w:val="center"/>
                    <w:textAlignment w:val="center"/>
                    <w:rPr>
                      <w:szCs w:val="21"/>
                    </w:rPr>
                  </w:pPr>
                  <w:r>
                    <w:rPr>
                      <w:rFonts w:hint="eastAsia"/>
                      <w:szCs w:val="21"/>
                    </w:rPr>
                    <w:t>个</w:t>
                  </w:r>
                </w:p>
              </w:tc>
              <w:tc>
                <w:tcPr>
                  <w:tcW w:w="1356" w:type="dxa"/>
                  <w:vAlign w:val="center"/>
                </w:tcPr>
                <w:p>
                  <w:pPr>
                    <w:jc w:val="center"/>
                    <w:textAlignment w:val="center"/>
                    <w:rPr>
                      <w:szCs w:val="21"/>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pPr>
                    <w:jc w:val="center"/>
                    <w:textAlignment w:val="center"/>
                    <w:rPr>
                      <w:szCs w:val="21"/>
                    </w:rPr>
                  </w:pPr>
                  <w:r>
                    <w:rPr>
                      <w:rFonts w:hint="eastAsia"/>
                      <w:szCs w:val="21"/>
                    </w:rPr>
                    <w:t>14</w:t>
                  </w:r>
                </w:p>
              </w:tc>
              <w:tc>
                <w:tcPr>
                  <w:tcW w:w="3574" w:type="dxa"/>
                  <w:vAlign w:val="center"/>
                </w:tcPr>
                <w:p>
                  <w:pPr>
                    <w:jc w:val="center"/>
                    <w:textAlignment w:val="center"/>
                    <w:rPr>
                      <w:szCs w:val="21"/>
                    </w:rPr>
                  </w:pPr>
                  <w:r>
                    <w:rPr>
                      <w:rFonts w:hint="eastAsia"/>
                      <w:szCs w:val="21"/>
                    </w:rPr>
                    <w:t>铲车</w:t>
                  </w:r>
                </w:p>
              </w:tc>
              <w:tc>
                <w:tcPr>
                  <w:tcW w:w="1493" w:type="dxa"/>
                  <w:vAlign w:val="center"/>
                </w:tcPr>
                <w:p>
                  <w:pPr>
                    <w:jc w:val="center"/>
                    <w:textAlignment w:val="center"/>
                    <w:rPr>
                      <w:szCs w:val="21"/>
                    </w:rPr>
                  </w:pPr>
                  <w:r>
                    <w:rPr>
                      <w:rFonts w:hint="eastAsia"/>
                      <w:szCs w:val="21"/>
                    </w:rPr>
                    <w:t>台</w:t>
                  </w:r>
                </w:p>
              </w:tc>
              <w:tc>
                <w:tcPr>
                  <w:tcW w:w="1356" w:type="dxa"/>
                  <w:vAlign w:val="center"/>
                </w:tcPr>
                <w:p>
                  <w:pPr>
                    <w:jc w:val="center"/>
                    <w:textAlignment w:val="center"/>
                    <w:rPr>
                      <w:szCs w:val="21"/>
                    </w:rPr>
                  </w:pPr>
                  <w:r>
                    <w:rPr>
                      <w:rFonts w:hint="eastAsia"/>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1262" w:type="dxa"/>
                  <w:vAlign w:val="center"/>
                </w:tcPr>
                <w:p>
                  <w:pPr>
                    <w:jc w:val="center"/>
                    <w:textAlignment w:val="center"/>
                    <w:rPr>
                      <w:szCs w:val="21"/>
                    </w:rPr>
                  </w:pPr>
                  <w:r>
                    <w:rPr>
                      <w:rFonts w:hint="eastAsia"/>
                      <w:szCs w:val="21"/>
                    </w:rPr>
                    <w:t>15</w:t>
                  </w:r>
                </w:p>
              </w:tc>
              <w:tc>
                <w:tcPr>
                  <w:tcW w:w="3574" w:type="dxa"/>
                  <w:vAlign w:val="center"/>
                </w:tcPr>
                <w:p>
                  <w:pPr>
                    <w:jc w:val="center"/>
                    <w:textAlignment w:val="center"/>
                    <w:rPr>
                      <w:szCs w:val="21"/>
                    </w:rPr>
                  </w:pPr>
                  <w:r>
                    <w:rPr>
                      <w:rFonts w:hint="eastAsia"/>
                      <w:szCs w:val="21"/>
                    </w:rPr>
                    <w:t>苫布</w:t>
                  </w:r>
                </w:p>
              </w:tc>
              <w:tc>
                <w:tcPr>
                  <w:tcW w:w="1493" w:type="dxa"/>
                  <w:vAlign w:val="center"/>
                </w:tcPr>
                <w:p>
                  <w:pPr>
                    <w:jc w:val="center"/>
                    <w:textAlignment w:val="center"/>
                    <w:rPr>
                      <w:szCs w:val="21"/>
                    </w:rPr>
                  </w:pPr>
                  <w:r>
                    <w:rPr>
                      <w:rFonts w:hint="eastAsia"/>
                      <w:szCs w:val="21"/>
                    </w:rPr>
                    <w:t>套</w:t>
                  </w:r>
                </w:p>
              </w:tc>
              <w:tc>
                <w:tcPr>
                  <w:tcW w:w="1356" w:type="dxa"/>
                  <w:vAlign w:val="center"/>
                </w:tcPr>
                <w:p>
                  <w:pPr>
                    <w:jc w:val="center"/>
                    <w:textAlignment w:val="center"/>
                    <w:rPr>
                      <w:szCs w:val="21"/>
                    </w:rPr>
                  </w:pPr>
                  <w:r>
                    <w:rPr>
                      <w:rFonts w:hint="eastAsia"/>
                      <w:szCs w:val="21"/>
                    </w:rPr>
                    <w:t>8</w:t>
                  </w:r>
                </w:p>
              </w:tc>
            </w:tr>
          </w:tbl>
          <w:p>
            <w:pPr>
              <w:pStyle w:val="52"/>
              <w:ind w:firstLine="482"/>
              <w:rPr>
                <w:rFonts w:cs="Times New Roman"/>
                <w:b/>
                <w:bCs/>
                <w:color w:val="auto"/>
                <w:sz w:val="24"/>
              </w:rPr>
            </w:pPr>
            <w:r>
              <w:rPr>
                <w:rFonts w:cs="Times New Roman"/>
                <w:b/>
                <w:bCs/>
                <w:color w:val="auto"/>
                <w:sz w:val="24"/>
              </w:rPr>
              <w:t>五、建设周期及实施进度</w:t>
            </w:r>
          </w:p>
          <w:p>
            <w:pPr>
              <w:pStyle w:val="52"/>
              <w:ind w:firstLine="480"/>
              <w:rPr>
                <w:rFonts w:cs="Times New Roman"/>
                <w:color w:val="auto"/>
                <w:sz w:val="24"/>
              </w:rPr>
            </w:pPr>
            <w:r>
              <w:rPr>
                <w:rFonts w:cs="Times New Roman"/>
                <w:color w:val="auto"/>
                <w:sz w:val="24"/>
              </w:rPr>
              <w:t>本项目</w:t>
            </w:r>
            <w:r>
              <w:rPr>
                <w:rFonts w:hint="eastAsia" w:cs="Times New Roman"/>
                <w:color w:val="auto"/>
                <w:sz w:val="24"/>
              </w:rPr>
              <w:t>施工工期为2025年11月~2025年12月，</w:t>
            </w:r>
            <w:r>
              <w:rPr>
                <w:rFonts w:cs="Times New Roman"/>
                <w:color w:val="auto"/>
                <w:sz w:val="24"/>
              </w:rPr>
              <w:t>预计投产日期为</w:t>
            </w:r>
            <w:r>
              <w:rPr>
                <w:rFonts w:hint="eastAsia" w:cs="Times New Roman"/>
                <w:color w:val="auto"/>
                <w:sz w:val="24"/>
              </w:rPr>
              <w:t>2025</w:t>
            </w:r>
            <w:r>
              <w:rPr>
                <w:rFonts w:cs="Times New Roman"/>
                <w:color w:val="auto"/>
                <w:sz w:val="24"/>
              </w:rPr>
              <w:t>年</w:t>
            </w:r>
            <w:r>
              <w:rPr>
                <w:rFonts w:hint="eastAsia" w:cs="Times New Roman"/>
                <w:color w:val="auto"/>
                <w:sz w:val="24"/>
              </w:rPr>
              <w:t>12</w:t>
            </w:r>
            <w:r>
              <w:rPr>
                <w:rFonts w:cs="Times New Roman"/>
                <w:color w:val="auto"/>
                <w:sz w:val="24"/>
              </w:rPr>
              <w:t>月。</w:t>
            </w:r>
          </w:p>
          <w:p>
            <w:pPr>
              <w:pStyle w:val="52"/>
              <w:ind w:firstLine="482"/>
              <w:rPr>
                <w:rFonts w:cs="Times New Roman"/>
                <w:b/>
                <w:bCs/>
                <w:color w:val="auto"/>
                <w:sz w:val="24"/>
              </w:rPr>
            </w:pPr>
            <w:r>
              <w:rPr>
                <w:rFonts w:cs="Times New Roman"/>
                <w:b/>
                <w:bCs/>
                <w:color w:val="auto"/>
                <w:sz w:val="24"/>
              </w:rPr>
              <w:t>六、劳动定员及工作制度</w:t>
            </w:r>
          </w:p>
          <w:p>
            <w:pPr>
              <w:pStyle w:val="85"/>
              <w:spacing w:line="360" w:lineRule="auto"/>
              <w:ind w:firstLine="480"/>
              <w:rPr>
                <w:rFonts w:eastAsia="宋体"/>
                <w:b w:val="0"/>
                <w:bCs w:val="0"/>
              </w:rPr>
            </w:pPr>
            <w:r>
              <w:rPr>
                <w:rFonts w:hint="eastAsia" w:eastAsia="宋体"/>
                <w:b w:val="0"/>
                <w:bCs w:val="0"/>
              </w:rPr>
              <w:t>本项目劳动定员8人，一班制，日工作8小时，共300天。本项目不设置食堂和宿舍。</w:t>
            </w:r>
          </w:p>
          <w:p>
            <w:pPr>
              <w:pStyle w:val="85"/>
              <w:spacing w:line="360" w:lineRule="auto"/>
              <w:ind w:firstLine="482"/>
              <w:rPr>
                <w:rFonts w:eastAsia="宋体"/>
              </w:rPr>
            </w:pPr>
            <w:r>
              <w:rPr>
                <w:rFonts w:eastAsia="宋体"/>
              </w:rPr>
              <w:t>七、公用工程</w:t>
            </w:r>
          </w:p>
          <w:p>
            <w:pPr>
              <w:pStyle w:val="52"/>
              <w:adjustRightInd w:val="0"/>
              <w:snapToGrid w:val="0"/>
              <w:ind w:firstLine="480"/>
              <w:rPr>
                <w:rFonts w:cs="Times New Roman"/>
                <w:color w:val="auto"/>
                <w:sz w:val="24"/>
              </w:rPr>
            </w:pPr>
            <w:r>
              <w:rPr>
                <w:rFonts w:cs="Times New Roman"/>
                <w:color w:val="auto"/>
                <w:sz w:val="24"/>
              </w:rPr>
              <w:t>1、给水</w:t>
            </w:r>
          </w:p>
          <w:p>
            <w:pPr>
              <w:pStyle w:val="52"/>
              <w:adjustRightInd w:val="0"/>
              <w:snapToGrid w:val="0"/>
              <w:ind w:firstLine="480"/>
              <w:rPr>
                <w:rFonts w:cs="Times New Roman"/>
                <w:color w:val="auto"/>
                <w:sz w:val="24"/>
              </w:rPr>
            </w:pPr>
            <w:r>
              <w:rPr>
                <w:rFonts w:hint="eastAsia" w:cs="Times New Roman"/>
                <w:color w:val="auto"/>
                <w:sz w:val="24"/>
              </w:rPr>
              <w:t>本项目生产用水由现有水井提供；生活饮用水使用桶装水，能够满足生产生活需求。</w:t>
            </w:r>
          </w:p>
          <w:p>
            <w:pPr>
              <w:pStyle w:val="52"/>
              <w:adjustRightInd w:val="0"/>
              <w:snapToGrid w:val="0"/>
              <w:ind w:firstLine="480"/>
              <w:rPr>
                <w:rFonts w:cs="Times New Roman"/>
                <w:color w:val="auto"/>
                <w:sz w:val="24"/>
              </w:rPr>
            </w:pPr>
            <w:r>
              <w:rPr>
                <w:rFonts w:hint="eastAsia" w:cs="Times New Roman"/>
                <w:color w:val="auto"/>
                <w:sz w:val="24"/>
              </w:rPr>
              <w:t>①生活用水</w:t>
            </w:r>
          </w:p>
          <w:p>
            <w:pPr>
              <w:pStyle w:val="52"/>
              <w:ind w:firstLine="480"/>
              <w:rPr>
                <w:rFonts w:cs="Times New Roman"/>
                <w:color w:val="auto"/>
                <w:sz w:val="24"/>
              </w:rPr>
            </w:pPr>
            <w:r>
              <w:rPr>
                <w:rFonts w:hint="eastAsia" w:cs="Times New Roman"/>
                <w:color w:val="auto"/>
                <w:sz w:val="24"/>
              </w:rPr>
              <w:t>本项目职工人数为8人，根据黑龙江省地方标准《用水定额》（DB23/T727-2021），按80L/人·d计算，年工作天数为300天，则职工生活用水量为0.64t/d，192t/a</w:t>
            </w:r>
            <w:r>
              <w:rPr>
                <w:rFonts w:cs="Times New Roman"/>
                <w:color w:val="auto"/>
                <w:sz w:val="24"/>
              </w:rPr>
              <w:t>。</w:t>
            </w:r>
          </w:p>
          <w:p>
            <w:pPr>
              <w:pStyle w:val="52"/>
              <w:ind w:firstLine="480"/>
              <w:rPr>
                <w:rFonts w:cs="Times New Roman"/>
                <w:color w:val="auto"/>
                <w:sz w:val="24"/>
              </w:rPr>
            </w:pPr>
            <w:r>
              <w:rPr>
                <w:rFonts w:hint="eastAsia" w:cs="Times New Roman"/>
                <w:color w:val="auto"/>
                <w:sz w:val="24"/>
              </w:rPr>
              <w:t>②洗煤用水</w:t>
            </w:r>
          </w:p>
          <w:p>
            <w:pPr>
              <w:pStyle w:val="52"/>
              <w:ind w:firstLine="480"/>
              <w:rPr>
                <w:rFonts w:cs="Times New Roman"/>
                <w:color w:val="auto"/>
                <w:sz w:val="24"/>
              </w:rPr>
            </w:pPr>
            <w:r>
              <w:rPr>
                <w:rFonts w:hint="eastAsia" w:cs="Times New Roman"/>
                <w:color w:val="auto"/>
                <w:sz w:val="24"/>
              </w:rPr>
              <w:t>本项目洗煤废水采用闭路循环水洗煤工艺，不外排，洗煤废水经过沉淀池投加絮凝剂，使细小的颗粒絮凝沉淀，上清液循环用于生产。根据黑龙江省地方标准《用水定额》（DB23/T727-2021），参照烟煤和无烟煤的开采洗选用水量中动力煤选煤厂数据，按先进值0.06m</w:t>
            </w:r>
            <w:r>
              <w:rPr>
                <w:rFonts w:hint="eastAsia" w:cs="Times New Roman"/>
                <w:color w:val="auto"/>
                <w:sz w:val="24"/>
                <w:vertAlign w:val="superscript"/>
              </w:rPr>
              <w:t>3</w:t>
            </w:r>
            <w:r>
              <w:rPr>
                <w:rFonts w:hint="eastAsia" w:cs="Times New Roman"/>
                <w:color w:val="auto"/>
                <w:sz w:val="24"/>
              </w:rPr>
              <w:t>/t计算，本项目洗选原煤量为30万吨/年，因此本项目洗煤用水循环补充水量为18000t/a，60t/d。</w:t>
            </w:r>
          </w:p>
          <w:p>
            <w:pPr>
              <w:pStyle w:val="52"/>
              <w:ind w:firstLine="480"/>
              <w:rPr>
                <w:rFonts w:cs="Times New Roman"/>
                <w:color w:val="auto"/>
                <w:sz w:val="24"/>
              </w:rPr>
            </w:pPr>
            <w:r>
              <w:rPr>
                <w:rFonts w:hint="eastAsia" w:cs="Times New Roman"/>
                <w:color w:val="auto"/>
                <w:sz w:val="24"/>
              </w:rPr>
              <w:t>该部分补水量属于循环系统中因自然蒸发和产品带出水份损失的水量。由于洗煤工艺产品会带出一定水分，同时循环过程中自然蒸发会使得循环用水发生损耗，参考《煤炭洗选工程设计规范》（GB50359-2016）中“补充水量可按循环水量的10%计算”，因此本项目洗煤用水综合损耗量按10%计算，则生产循环用水量为180000t/a，300t/d。</w:t>
            </w:r>
          </w:p>
          <w:p>
            <w:pPr>
              <w:pStyle w:val="52"/>
              <w:ind w:firstLine="480"/>
              <w:rPr>
                <w:rFonts w:cs="Times New Roman"/>
                <w:color w:val="auto"/>
                <w:sz w:val="24"/>
              </w:rPr>
            </w:pPr>
            <w:r>
              <w:rPr>
                <w:rFonts w:hint="eastAsia" w:cs="Times New Roman"/>
                <w:color w:val="auto"/>
                <w:sz w:val="24"/>
              </w:rPr>
              <w:t>③压滤机清洗用水</w:t>
            </w:r>
          </w:p>
          <w:p>
            <w:pPr>
              <w:pStyle w:val="52"/>
              <w:ind w:firstLine="480"/>
              <w:rPr>
                <w:rFonts w:cs="Times New Roman"/>
                <w:color w:val="auto"/>
                <w:sz w:val="24"/>
              </w:rPr>
            </w:pPr>
            <w:r>
              <w:rPr>
                <w:rFonts w:hint="eastAsia" w:cs="Times New Roman"/>
                <w:color w:val="auto"/>
                <w:sz w:val="24"/>
              </w:rPr>
              <w:t>压滤机在暂时停止生产时必须清洗干净，压滤机每天清洗一次，压滤机冲洗用水以0.5t/台·天计，本项目设置2台压滤机，则项目压滤机冲洗用水量为1t/d，300t/a。</w:t>
            </w:r>
          </w:p>
          <w:p>
            <w:pPr>
              <w:pStyle w:val="52"/>
              <w:ind w:firstLine="480"/>
              <w:rPr>
                <w:rFonts w:cs="Times New Roman"/>
                <w:color w:val="auto"/>
                <w:sz w:val="24"/>
              </w:rPr>
            </w:pPr>
            <w:r>
              <w:rPr>
                <w:rFonts w:hint="eastAsia" w:cs="Times New Roman"/>
                <w:color w:val="auto"/>
                <w:sz w:val="24"/>
              </w:rPr>
              <w:t>④地面车间清洗废水</w:t>
            </w:r>
          </w:p>
          <w:p>
            <w:pPr>
              <w:pStyle w:val="52"/>
              <w:ind w:firstLine="480"/>
              <w:rPr>
                <w:rFonts w:cs="Times New Roman"/>
                <w:color w:val="auto"/>
                <w:sz w:val="24"/>
              </w:rPr>
            </w:pPr>
            <w:r>
              <w:rPr>
                <w:rFonts w:hint="eastAsia" w:cs="Times New Roman"/>
                <w:color w:val="auto"/>
                <w:sz w:val="24"/>
              </w:rPr>
              <w:t>项日生产车间地面需用水清洗，根据《煤炭洗选工程设计规范》（GB50359-2016）室内地面冲洗给水定额，对原煤和干煤产品（除矸石外）生产系统，可为4L/（m</w:t>
            </w:r>
            <w:r>
              <w:rPr>
                <w:rFonts w:hint="eastAsia" w:cs="Times New Roman"/>
                <w:color w:val="auto"/>
                <w:sz w:val="24"/>
                <w:vertAlign w:val="superscript"/>
              </w:rPr>
              <w:t>2</w:t>
            </w:r>
            <w:r>
              <w:rPr>
                <w:rFonts w:hint="eastAsia" w:cs="Times New Roman"/>
                <w:color w:val="auto"/>
                <w:sz w:val="24"/>
              </w:rPr>
              <w:t>·次）~6L/（m</w:t>
            </w:r>
            <w:r>
              <w:rPr>
                <w:rFonts w:hint="eastAsia" w:cs="Times New Roman"/>
                <w:color w:val="auto"/>
                <w:sz w:val="24"/>
                <w:vertAlign w:val="superscript"/>
              </w:rPr>
              <w:t>2</w:t>
            </w:r>
            <w:r>
              <w:rPr>
                <w:rFonts w:hint="eastAsia" w:cs="Times New Roman"/>
                <w:color w:val="auto"/>
                <w:sz w:val="24"/>
              </w:rPr>
              <w:t>·次），按最严要求取值为4L/（m</w:t>
            </w:r>
            <w:r>
              <w:rPr>
                <w:rFonts w:hint="eastAsia" w:cs="Times New Roman"/>
                <w:color w:val="auto"/>
                <w:sz w:val="24"/>
                <w:vertAlign w:val="superscript"/>
              </w:rPr>
              <w:t>2</w:t>
            </w:r>
            <w:r>
              <w:rPr>
                <w:rFonts w:hint="eastAsia" w:cs="Times New Roman"/>
                <w:color w:val="auto"/>
                <w:sz w:val="24"/>
              </w:rPr>
              <w:t>·次），本项目车间地面冲洗用水为12t/d，3600t/a。</w:t>
            </w:r>
          </w:p>
          <w:p>
            <w:pPr>
              <w:pStyle w:val="52"/>
              <w:ind w:firstLine="480"/>
              <w:rPr>
                <w:rFonts w:cs="Times New Roman"/>
                <w:color w:val="auto"/>
                <w:sz w:val="24"/>
              </w:rPr>
            </w:pPr>
            <w:r>
              <w:rPr>
                <w:rFonts w:hint="eastAsia" w:cs="Times New Roman"/>
                <w:color w:val="auto"/>
                <w:sz w:val="24"/>
              </w:rPr>
              <w:t>⑤洒水降尘用水</w:t>
            </w:r>
          </w:p>
          <w:p>
            <w:pPr>
              <w:pStyle w:val="52"/>
              <w:ind w:firstLine="480"/>
              <w:rPr>
                <w:rFonts w:cs="Times New Roman"/>
                <w:color w:val="auto"/>
                <w:sz w:val="24"/>
              </w:rPr>
            </w:pPr>
            <w:r>
              <w:rPr>
                <w:rFonts w:hint="eastAsia" w:cs="Times New Roman"/>
                <w:color w:val="auto"/>
                <w:sz w:val="24"/>
              </w:rPr>
              <w:t>本项目在厂区设置的原煤堆放库以及转载点等起尘处均需洒水抑尘，此外，对运输路面等也要进行定期洒水。根据《煤炭洗选工程设计规范》（GB50359-2016）道路浇洒用水计算洒水量，用水定额2.0~3.0L/（m</w:t>
            </w:r>
            <w:r>
              <w:rPr>
                <w:rFonts w:hint="eastAsia" w:cs="Times New Roman"/>
                <w:color w:val="auto"/>
                <w:sz w:val="24"/>
                <w:vertAlign w:val="superscript"/>
              </w:rPr>
              <w:t>3</w:t>
            </w:r>
            <w:r>
              <w:rPr>
                <w:rFonts w:hint="eastAsia" w:cs="Times New Roman"/>
                <w:color w:val="auto"/>
                <w:sz w:val="24"/>
              </w:rPr>
              <w:t>/d），需要洒水面积约2000m</w:t>
            </w:r>
            <w:r>
              <w:rPr>
                <w:rFonts w:hint="eastAsia" w:cs="Times New Roman"/>
                <w:color w:val="auto"/>
                <w:sz w:val="24"/>
                <w:vertAlign w:val="superscript"/>
              </w:rPr>
              <w:t>2</w:t>
            </w:r>
            <w:r>
              <w:rPr>
                <w:rFonts w:hint="eastAsia" w:cs="Times New Roman"/>
                <w:color w:val="auto"/>
                <w:sz w:val="24"/>
              </w:rPr>
              <w:t>，则用水量为4t/d，1200t/a。</w:t>
            </w:r>
          </w:p>
          <w:p>
            <w:pPr>
              <w:pStyle w:val="52"/>
              <w:ind w:firstLine="480"/>
              <w:rPr>
                <w:rFonts w:cs="Times New Roman"/>
                <w:color w:val="auto"/>
                <w:sz w:val="24"/>
              </w:rPr>
            </w:pPr>
            <w:r>
              <w:rPr>
                <w:rFonts w:hint="eastAsia" w:cs="Times New Roman"/>
                <w:color w:val="auto"/>
                <w:sz w:val="24"/>
              </w:rPr>
              <w:t>⑥车辆清洗用水</w:t>
            </w:r>
          </w:p>
          <w:p>
            <w:pPr>
              <w:pStyle w:val="52"/>
              <w:ind w:firstLine="480"/>
              <w:rPr>
                <w:rFonts w:cs="Times New Roman"/>
                <w:color w:val="auto"/>
                <w:sz w:val="24"/>
              </w:rPr>
            </w:pPr>
            <w:r>
              <w:rPr>
                <w:rFonts w:hint="eastAsia" w:cs="Times New Roman"/>
                <w:color w:val="auto"/>
                <w:sz w:val="24"/>
              </w:rPr>
              <w:t>车辆每月清洗一次，年工作300天（约10个月），车辆清洗用水以1.0t/台·次计，本项目设置2台铲车，则项目车辆冲洗用水量为20t/a。</w:t>
            </w:r>
          </w:p>
          <w:p>
            <w:pPr>
              <w:pStyle w:val="52"/>
              <w:adjustRightInd w:val="0"/>
              <w:snapToGrid w:val="0"/>
              <w:ind w:firstLine="480"/>
              <w:rPr>
                <w:rFonts w:cs="Times New Roman"/>
                <w:color w:val="auto"/>
                <w:sz w:val="24"/>
              </w:rPr>
            </w:pPr>
            <w:r>
              <w:rPr>
                <w:rFonts w:cs="Times New Roman"/>
                <w:color w:val="auto"/>
                <w:sz w:val="24"/>
              </w:rPr>
              <w:t>2、排水</w:t>
            </w:r>
          </w:p>
          <w:p>
            <w:pPr>
              <w:pStyle w:val="52"/>
              <w:ind w:firstLine="480"/>
              <w:rPr>
                <w:rFonts w:cs="Times New Roman"/>
                <w:color w:val="auto"/>
                <w:sz w:val="24"/>
              </w:rPr>
            </w:pPr>
            <w:r>
              <w:rPr>
                <w:rFonts w:hint="eastAsia" w:cs="Times New Roman"/>
                <w:color w:val="auto"/>
                <w:sz w:val="24"/>
              </w:rPr>
              <w:t>①生活污水</w:t>
            </w:r>
          </w:p>
          <w:p>
            <w:pPr>
              <w:pStyle w:val="52"/>
              <w:ind w:firstLine="480"/>
              <w:rPr>
                <w:rFonts w:cs="Times New Roman"/>
                <w:color w:val="auto"/>
                <w:sz w:val="24"/>
              </w:rPr>
            </w:pPr>
            <w:r>
              <w:rPr>
                <w:rFonts w:hint="eastAsia" w:cs="Times New Roman"/>
                <w:color w:val="auto"/>
                <w:sz w:val="24"/>
              </w:rPr>
              <w:t>生活污水量按用水量80%计算，则废水量为0.512t/d，153.6ta。主要污染物为COD和氨氮。生活污水排入厂区内防渗旱厕，定期清掏，外运堆肥不外排。</w:t>
            </w:r>
          </w:p>
          <w:p>
            <w:pPr>
              <w:pStyle w:val="52"/>
              <w:ind w:firstLine="480"/>
              <w:rPr>
                <w:rFonts w:cs="Times New Roman"/>
                <w:color w:val="auto"/>
                <w:sz w:val="24"/>
              </w:rPr>
            </w:pPr>
            <w:r>
              <w:rPr>
                <w:rFonts w:hint="eastAsia" w:cs="Times New Roman"/>
                <w:color w:val="auto"/>
                <w:sz w:val="24"/>
              </w:rPr>
              <w:t>②洗煤废水</w:t>
            </w:r>
          </w:p>
          <w:p>
            <w:pPr>
              <w:pStyle w:val="52"/>
              <w:ind w:firstLine="480"/>
              <w:rPr>
                <w:rFonts w:cs="Times New Roman"/>
                <w:color w:val="auto"/>
                <w:sz w:val="24"/>
              </w:rPr>
            </w:pPr>
            <w:r>
              <w:rPr>
                <w:rFonts w:hint="eastAsia" w:cs="Times New Roman"/>
                <w:color w:val="auto"/>
                <w:sz w:val="24"/>
              </w:rPr>
              <w:t>洗煤废水经浓缩、压滤后，全部回用于洗煤工序，实现闭路循环，实际上水的消耗量只是产品带走的水与少量蒸发损耗的水。</w:t>
            </w:r>
          </w:p>
          <w:p>
            <w:pPr>
              <w:pStyle w:val="52"/>
              <w:ind w:firstLine="480"/>
              <w:rPr>
                <w:rFonts w:cs="Times New Roman"/>
                <w:color w:val="auto"/>
                <w:sz w:val="24"/>
              </w:rPr>
            </w:pPr>
            <w:r>
              <w:rPr>
                <w:rFonts w:hint="eastAsia" w:cs="Times New Roman"/>
                <w:color w:val="auto"/>
                <w:sz w:val="24"/>
              </w:rPr>
              <w:t>③车间冲洗废水</w:t>
            </w:r>
          </w:p>
          <w:p>
            <w:pPr>
              <w:pStyle w:val="52"/>
              <w:ind w:firstLine="480"/>
              <w:rPr>
                <w:rFonts w:cs="Times New Roman"/>
                <w:color w:val="auto"/>
                <w:sz w:val="24"/>
              </w:rPr>
            </w:pPr>
            <w:r>
              <w:rPr>
                <w:rFonts w:hint="eastAsia" w:cs="Times New Roman"/>
                <w:color w:val="auto"/>
                <w:sz w:val="24"/>
              </w:rPr>
              <w:t>车间地面冲洗废水排入循环沉淀池，经浓缩机处理后回用于生产，不外排。</w:t>
            </w:r>
          </w:p>
          <w:p>
            <w:pPr>
              <w:pStyle w:val="52"/>
              <w:ind w:firstLine="480"/>
              <w:rPr>
                <w:rFonts w:cs="Times New Roman"/>
                <w:color w:val="auto"/>
                <w:sz w:val="24"/>
              </w:rPr>
            </w:pPr>
            <w:r>
              <w:rPr>
                <w:rFonts w:hint="eastAsia" w:cs="Times New Roman"/>
                <w:color w:val="auto"/>
                <w:sz w:val="24"/>
              </w:rPr>
              <w:t>④洒水降尘水</w:t>
            </w:r>
          </w:p>
          <w:p>
            <w:pPr>
              <w:pStyle w:val="52"/>
              <w:ind w:firstLine="480"/>
              <w:rPr>
                <w:rFonts w:cs="Times New Roman"/>
                <w:color w:val="auto"/>
                <w:sz w:val="24"/>
              </w:rPr>
            </w:pPr>
            <w:r>
              <w:rPr>
                <w:rFonts w:hint="eastAsia" w:cs="Times New Roman"/>
                <w:color w:val="auto"/>
                <w:sz w:val="24"/>
              </w:rPr>
              <w:t>厂区洒水降尘用水全部蒸发损耗，不外排。</w:t>
            </w:r>
          </w:p>
          <w:p>
            <w:pPr>
              <w:pStyle w:val="52"/>
              <w:ind w:firstLine="480"/>
              <w:rPr>
                <w:rFonts w:cs="Times New Roman"/>
                <w:color w:val="auto"/>
                <w:sz w:val="24"/>
              </w:rPr>
            </w:pPr>
            <w:r>
              <w:rPr>
                <w:rFonts w:hint="eastAsia" w:cs="Times New Roman"/>
                <w:color w:val="auto"/>
                <w:sz w:val="24"/>
              </w:rPr>
              <w:t>⑤压滤机清洗废水</w:t>
            </w:r>
          </w:p>
          <w:p>
            <w:pPr>
              <w:pStyle w:val="52"/>
              <w:ind w:firstLine="480"/>
              <w:rPr>
                <w:rFonts w:cs="Times New Roman"/>
                <w:color w:val="auto"/>
                <w:sz w:val="24"/>
              </w:rPr>
            </w:pPr>
            <w:r>
              <w:rPr>
                <w:rFonts w:hint="eastAsia" w:cs="Times New Roman"/>
                <w:color w:val="auto"/>
                <w:sz w:val="24"/>
              </w:rPr>
              <w:t>压滤机清洗废水产生量按用水量的80%计，则压滤机冲洗废水量为0.8t/d，240t/a，压滤机清洗废水排入循环沉淀池，经浓缩机处理后回用于生产，不外排。</w:t>
            </w:r>
          </w:p>
          <w:p>
            <w:pPr>
              <w:pStyle w:val="52"/>
              <w:ind w:firstLine="480"/>
              <w:rPr>
                <w:rFonts w:cs="Times New Roman"/>
                <w:color w:val="auto"/>
                <w:sz w:val="24"/>
              </w:rPr>
            </w:pPr>
            <w:r>
              <w:rPr>
                <w:rFonts w:hint="eastAsia" w:cs="Times New Roman"/>
                <w:color w:val="auto"/>
                <w:sz w:val="24"/>
              </w:rPr>
              <w:t>⑥车辆清洗废水</w:t>
            </w:r>
          </w:p>
          <w:p>
            <w:pPr>
              <w:pStyle w:val="52"/>
              <w:ind w:firstLine="480"/>
              <w:rPr>
                <w:rFonts w:cs="Times New Roman"/>
                <w:color w:val="auto"/>
                <w:sz w:val="24"/>
              </w:rPr>
            </w:pPr>
            <w:r>
              <w:rPr>
                <w:rFonts w:hint="eastAsia" w:cs="Times New Roman"/>
                <w:color w:val="auto"/>
                <w:sz w:val="24"/>
              </w:rPr>
              <w:t>车辆冲洗废水按用水量的80%计，则车辆冲洗废水量为12.8t/d。车辆冲洗废水通过排水管道排入循环沉淀池，经浓缩机处理后回用于生产不外排。</w:t>
            </w:r>
          </w:p>
          <w:p>
            <w:pPr>
              <w:pStyle w:val="52"/>
              <w:ind w:firstLine="480"/>
              <w:rPr>
                <w:rFonts w:cs="Times New Roman"/>
                <w:color w:val="auto"/>
                <w:sz w:val="24"/>
              </w:rPr>
            </w:pPr>
            <w:r>
              <w:rPr>
                <w:rFonts w:hint="eastAsia" w:cs="Times New Roman"/>
                <w:color w:val="auto"/>
                <w:sz w:val="24"/>
              </w:rPr>
              <w:t>⑦产品贮存沥水</w:t>
            </w:r>
          </w:p>
          <w:p>
            <w:pPr>
              <w:pStyle w:val="52"/>
              <w:ind w:firstLine="480"/>
              <w:rPr>
                <w:rFonts w:cs="Times New Roman"/>
                <w:color w:val="auto"/>
                <w:sz w:val="24"/>
              </w:rPr>
            </w:pPr>
            <w:r>
              <w:rPr>
                <w:rFonts w:hint="eastAsia" w:cs="Times New Roman"/>
                <w:color w:val="auto"/>
                <w:sz w:val="24"/>
              </w:rPr>
              <w:t>本项目主要产品在贮存过程中会产生少量沥水，通过堆放库中的导流沟收集，收集后回到沉淀池经过沉淀处理后，循环利用于洗煤用水。本项目各产品刚洗煤后进入堆放库时的含水率为精煤13%，中煤15%，矸石20%，煤泥30%，根据本项目产品产量及贮存时和出厂时的含水率计算沥水产生量，则本项目产品贮存沥水量为15720t/a，52.4t/d。</w:t>
            </w:r>
          </w:p>
          <w:p>
            <w:pPr>
              <w:pStyle w:val="52"/>
              <w:ind w:firstLine="480"/>
              <w:rPr>
                <w:rFonts w:cs="Times New Roman"/>
                <w:color w:val="auto"/>
                <w:sz w:val="24"/>
              </w:rPr>
            </w:pPr>
            <w:r>
              <w:rPr>
                <w:rFonts w:hint="eastAsia" w:cs="Times New Roman"/>
                <w:color w:val="auto"/>
                <w:sz w:val="24"/>
              </w:rPr>
              <w:t>⑧初期雨水</w:t>
            </w:r>
          </w:p>
          <w:p>
            <w:pPr>
              <w:pStyle w:val="52"/>
              <w:ind w:firstLine="480"/>
              <w:rPr>
                <w:rFonts w:cs="Times New Roman"/>
                <w:color w:val="auto"/>
                <w:sz w:val="24"/>
              </w:rPr>
            </w:pPr>
            <w:r>
              <w:rPr>
                <w:rFonts w:hint="eastAsia" w:cs="Times New Roman"/>
                <w:color w:val="auto"/>
                <w:sz w:val="24"/>
              </w:rPr>
              <w:t>收集后的雨水导入初期雨水收集池，沉淀后用于厂区洒水抑尘。</w:t>
            </w:r>
          </w:p>
          <w:p>
            <w:pPr>
              <w:pStyle w:val="52"/>
              <w:ind w:firstLine="480"/>
              <w:rPr>
                <w:rFonts w:cs="Times New Roman"/>
                <w:color w:val="auto"/>
                <w:sz w:val="24"/>
              </w:rPr>
            </w:pPr>
            <w:r>
              <w:rPr>
                <w:rFonts w:hint="eastAsia" w:cs="Times New Roman"/>
                <w:color w:val="auto"/>
                <w:sz w:val="24"/>
              </w:rPr>
              <w:t>初期雨水的估算方法，本评价采用鹤岗市气象局发布鹤岗市中心城区暴雨强度公式进行估算初期雨水的估算公示：</w:t>
            </w:r>
          </w:p>
          <w:p>
            <w:pPr>
              <w:pStyle w:val="52"/>
              <w:ind w:firstLine="420"/>
              <w:jc w:val="center"/>
              <w:rPr>
                <w:rFonts w:cs="Times New Roman"/>
                <w:color w:val="auto"/>
                <w:sz w:val="24"/>
              </w:rPr>
            </w:pPr>
            <w:r>
              <w:rPr>
                <w:color w:val="auto"/>
              </w:rPr>
              <w:drawing>
                <wp:inline distT="0" distB="0" distL="0" distR="0">
                  <wp:extent cx="2250440" cy="470535"/>
                  <wp:effectExtent l="19050" t="38100" r="16510" b="24765"/>
                  <wp:docPr id="17766074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607435" name="图片 1"/>
                          <pic:cNvPicPr>
                            <a:picLocks noChangeAspect="1"/>
                          </pic:cNvPicPr>
                        </pic:nvPicPr>
                        <pic:blipFill>
                          <a:blip r:embed="rId14"/>
                          <a:stretch>
                            <a:fillRect/>
                          </a:stretch>
                        </pic:blipFill>
                        <pic:spPr>
                          <a:xfrm rot="21540000">
                            <a:off x="0" y="0"/>
                            <a:ext cx="2254909" cy="471785"/>
                          </a:xfrm>
                          <a:prstGeom prst="rect">
                            <a:avLst/>
                          </a:prstGeom>
                        </pic:spPr>
                      </pic:pic>
                    </a:graphicData>
                  </a:graphic>
                </wp:inline>
              </w:drawing>
            </w:r>
          </w:p>
          <w:p>
            <w:pPr>
              <w:pStyle w:val="52"/>
              <w:ind w:firstLine="480"/>
              <w:rPr>
                <w:rFonts w:cs="Times New Roman"/>
                <w:color w:val="auto"/>
                <w:sz w:val="24"/>
              </w:rPr>
            </w:pPr>
            <w:r>
              <w:rPr>
                <w:rFonts w:hint="eastAsia" w:cs="Times New Roman"/>
                <w:color w:val="auto"/>
                <w:sz w:val="24"/>
              </w:rPr>
              <w:t>式中：</w:t>
            </w:r>
          </w:p>
          <w:p>
            <w:pPr>
              <w:pStyle w:val="52"/>
              <w:ind w:firstLine="480"/>
              <w:rPr>
                <w:rFonts w:cs="Times New Roman"/>
                <w:color w:val="auto"/>
                <w:sz w:val="24"/>
              </w:rPr>
            </w:pPr>
            <w:r>
              <w:rPr>
                <w:rFonts w:hint="eastAsia" w:cs="Times New Roman"/>
                <w:color w:val="auto"/>
                <w:sz w:val="24"/>
              </w:rPr>
              <w:t>P--设计重现期（a），取1a。</w:t>
            </w:r>
          </w:p>
          <w:p>
            <w:pPr>
              <w:pStyle w:val="52"/>
              <w:ind w:firstLine="480"/>
              <w:rPr>
                <w:rFonts w:cs="Times New Roman"/>
                <w:color w:val="auto"/>
                <w:sz w:val="24"/>
              </w:rPr>
            </w:pPr>
            <w:r>
              <w:rPr>
                <w:rFonts w:hint="eastAsia" w:cs="Times New Roman"/>
                <w:color w:val="auto"/>
                <w:sz w:val="24"/>
              </w:rPr>
              <w:t>t-降雨历时，min，取15；</w:t>
            </w:r>
          </w:p>
          <w:p>
            <w:pPr>
              <w:pStyle w:val="52"/>
              <w:ind w:firstLine="480"/>
              <w:rPr>
                <w:rFonts w:cs="Times New Roman"/>
                <w:color w:val="auto"/>
                <w:sz w:val="24"/>
              </w:rPr>
            </w:pPr>
            <w:r>
              <w:rPr>
                <w:rFonts w:hint="eastAsia" w:cs="Times New Roman"/>
                <w:color w:val="auto"/>
                <w:sz w:val="24"/>
              </w:rPr>
              <w:t>q--设计暴雨强度，L/（s·hm</w:t>
            </w:r>
            <w:r>
              <w:rPr>
                <w:rFonts w:hint="eastAsia" w:cs="Times New Roman"/>
                <w:color w:val="auto"/>
                <w:sz w:val="24"/>
                <w:vertAlign w:val="superscript"/>
              </w:rPr>
              <w:t>2</w:t>
            </w:r>
            <w:r>
              <w:rPr>
                <w:rFonts w:hint="eastAsia" w:cs="Times New Roman"/>
                <w:color w:val="auto"/>
                <w:sz w:val="24"/>
              </w:rPr>
              <w:t>）。</w:t>
            </w:r>
          </w:p>
          <w:p>
            <w:pPr>
              <w:pStyle w:val="52"/>
              <w:ind w:firstLine="480"/>
              <w:rPr>
                <w:rFonts w:cs="Times New Roman"/>
                <w:color w:val="auto"/>
                <w:sz w:val="24"/>
              </w:rPr>
            </w:pPr>
            <w:r>
              <w:rPr>
                <w:rFonts w:hint="eastAsia" w:cs="Times New Roman"/>
                <w:color w:val="auto"/>
                <w:sz w:val="24"/>
              </w:rPr>
              <w:t>计算可得q值为170.56L/（s·hm</w:t>
            </w:r>
            <w:r>
              <w:rPr>
                <w:rFonts w:hint="eastAsia" w:cs="Times New Roman"/>
                <w:color w:val="auto"/>
                <w:sz w:val="24"/>
                <w:vertAlign w:val="superscript"/>
              </w:rPr>
              <w:t>2</w:t>
            </w:r>
            <w:r>
              <w:rPr>
                <w:rFonts w:hint="eastAsia" w:cs="Times New Roman"/>
                <w:color w:val="auto"/>
                <w:sz w:val="24"/>
              </w:rPr>
              <w:t>）。</w:t>
            </w:r>
          </w:p>
          <w:p>
            <w:pPr>
              <w:pStyle w:val="52"/>
              <w:ind w:firstLine="480"/>
              <w:rPr>
                <w:color w:val="auto"/>
                <w:sz w:val="24"/>
              </w:rPr>
            </w:pPr>
            <w:r>
              <w:rPr>
                <w:rFonts w:hint="eastAsia" w:cs="Times New Roman"/>
                <w:color w:val="auto"/>
                <w:sz w:val="24"/>
              </w:rPr>
              <w:t>本项目初期雨水汇水面积以本项目用地面积45000m</w:t>
            </w:r>
            <w:r>
              <w:rPr>
                <w:rFonts w:hint="eastAsia" w:cs="Times New Roman"/>
                <w:color w:val="auto"/>
                <w:sz w:val="24"/>
                <w:vertAlign w:val="superscript"/>
              </w:rPr>
              <w:t>2</w:t>
            </w:r>
            <w:r>
              <w:rPr>
                <w:rFonts w:hint="eastAsia" w:cs="Times New Roman"/>
                <w:color w:val="auto"/>
                <w:sz w:val="24"/>
              </w:rPr>
              <w:t>计算，以暴雨量的前15min雨量作为初期雨水量，可知初期雨水量为690.75m</w:t>
            </w:r>
            <w:r>
              <w:rPr>
                <w:rFonts w:hint="eastAsia" w:cs="Times New Roman"/>
                <w:color w:val="auto"/>
                <w:sz w:val="24"/>
                <w:vertAlign w:val="superscript"/>
              </w:rPr>
              <w:t>3</w:t>
            </w:r>
            <w:r>
              <w:rPr>
                <w:rFonts w:hint="eastAsia" w:cs="Times New Roman"/>
                <w:color w:val="auto"/>
                <w:sz w:val="24"/>
              </w:rPr>
              <w:t>，本项目设置一座700m</w:t>
            </w:r>
            <w:r>
              <w:rPr>
                <w:rFonts w:hint="eastAsia" w:cs="Times New Roman"/>
                <w:color w:val="auto"/>
                <w:sz w:val="24"/>
                <w:vertAlign w:val="superscript"/>
              </w:rPr>
              <w:t>3</w:t>
            </w:r>
            <w:r>
              <w:rPr>
                <w:rFonts w:hint="eastAsia" w:cs="Times New Roman"/>
                <w:color w:val="auto"/>
                <w:sz w:val="24"/>
              </w:rPr>
              <w:t>初期雨水防渗收集池，可以满足本项目初期雨水排放要求。收集后雨水导入初期雨水防渗收集池，沉淀后用于厂区洒水降尘，</w:t>
            </w:r>
            <w:r>
              <w:rPr>
                <w:rFonts w:hint="eastAsia"/>
                <w:color w:val="auto"/>
                <w:sz w:val="24"/>
              </w:rPr>
              <w:t>后期雨水排至厂外，</w:t>
            </w:r>
            <w:r>
              <w:rPr>
                <w:rFonts w:hint="eastAsia" w:cs="Times New Roman"/>
                <w:color w:val="auto"/>
                <w:sz w:val="24"/>
              </w:rPr>
              <w:t>由雨水收集管网截断阀控制。</w:t>
            </w:r>
          </w:p>
          <w:p>
            <w:pPr>
              <w:pStyle w:val="46"/>
              <w:spacing w:line="240" w:lineRule="auto"/>
              <w:rPr>
                <w:rFonts w:eastAsia="宋体" w:cs="Times New Roman"/>
                <w:szCs w:val="24"/>
              </w:rPr>
            </w:pPr>
            <w:r>
              <w:rPr>
                <w:rFonts w:hint="eastAsia"/>
              </w:rPr>
              <w:object>
                <v:shape id="_x0000_i1025" o:spt="75" type="#_x0000_t75" style="height:199.7pt;width:260.45pt;" o:ole="t" filled="f" coordsize="21600,21600">
                  <v:path/>
                  <v:fill on="f" focussize="0,0"/>
                  <v:stroke/>
                  <v:imagedata r:id="rId16" o:title=""/>
                  <o:lock v:ext="edit" aspectratio="t"/>
                  <w10:wrap type="none"/>
                  <w10:anchorlock/>
                </v:shape>
                <o:OLEObject Type="Embed" ProgID="Visio.Drawing.15" ShapeID="_x0000_i1025" DrawAspect="Content" ObjectID="_1468075725" r:id="rId15">
                  <o:LockedField>false</o:LockedField>
                </o:OLEObject>
              </w:object>
            </w:r>
          </w:p>
          <w:p>
            <w:pPr>
              <w:widowControl/>
              <w:adjustRightInd w:val="0"/>
              <w:snapToGrid w:val="0"/>
              <w:jc w:val="center"/>
              <w:rPr>
                <w:b/>
                <w:bCs/>
                <w:kern w:val="0"/>
                <w:sz w:val="24"/>
              </w:rPr>
            </w:pPr>
            <w:r>
              <w:rPr>
                <w:b/>
                <w:bCs/>
                <w:kern w:val="0"/>
                <w:sz w:val="24"/>
              </w:rPr>
              <w:t>图2-</w:t>
            </w:r>
            <w:r>
              <w:rPr>
                <w:rFonts w:hint="eastAsia"/>
                <w:b/>
                <w:bCs/>
                <w:kern w:val="0"/>
                <w:sz w:val="24"/>
              </w:rPr>
              <w:t>1</w:t>
            </w:r>
            <w:r>
              <w:rPr>
                <w:b/>
                <w:bCs/>
                <w:kern w:val="0"/>
                <w:sz w:val="24"/>
              </w:rPr>
              <w:t xml:space="preserve"> 本项目水</w:t>
            </w:r>
            <w:r>
              <w:rPr>
                <w:rFonts w:hint="eastAsia"/>
                <w:b/>
                <w:bCs/>
                <w:kern w:val="0"/>
                <w:sz w:val="24"/>
              </w:rPr>
              <w:t>量</w:t>
            </w:r>
            <w:r>
              <w:rPr>
                <w:b/>
                <w:bCs/>
                <w:kern w:val="0"/>
                <w:sz w:val="24"/>
              </w:rPr>
              <w:t>平衡图（t/</w:t>
            </w:r>
            <w:r>
              <w:rPr>
                <w:rFonts w:hint="eastAsia"/>
                <w:b/>
                <w:bCs/>
                <w:kern w:val="0"/>
                <w:sz w:val="24"/>
              </w:rPr>
              <w:t>d</w:t>
            </w:r>
            <w:r>
              <w:rPr>
                <w:b/>
                <w:bCs/>
                <w:kern w:val="0"/>
                <w:sz w:val="24"/>
              </w:rPr>
              <w:t>）</w:t>
            </w:r>
          </w:p>
          <w:p>
            <w:pPr>
              <w:pStyle w:val="46"/>
              <w:rPr>
                <w:rFonts w:eastAsia="宋体" w:cs="Times New Roman"/>
              </w:rPr>
            </w:pPr>
            <w:r>
              <w:rPr>
                <w:rFonts w:hint="eastAsia" w:eastAsia="宋体" w:cs="Times New Roman"/>
              </w:rPr>
              <w:t>表2-6 水量平衡表（t/d）</w:t>
            </w:r>
          </w:p>
          <w:tbl>
            <w:tblPr>
              <w:tblStyle w:val="2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796"/>
              <w:gridCol w:w="1697"/>
              <w:gridCol w:w="2415"/>
              <w:gridCol w:w="177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4" w:hRule="atLeast"/>
                <w:jc w:val="center"/>
              </w:trPr>
              <w:tc>
                <w:tcPr>
                  <w:tcW w:w="1169" w:type="pct"/>
                  <w:vAlign w:val="center"/>
                </w:tcPr>
                <w:p>
                  <w:pPr>
                    <w:snapToGrid w:val="0"/>
                    <w:jc w:val="center"/>
                    <w:rPr>
                      <w:bCs/>
                      <w:szCs w:val="21"/>
                    </w:rPr>
                  </w:pPr>
                  <w:r>
                    <w:rPr>
                      <w:rFonts w:hint="eastAsia"/>
                      <w:bCs/>
                      <w:szCs w:val="21"/>
                    </w:rPr>
                    <w:t>用途</w:t>
                  </w:r>
                </w:p>
              </w:tc>
              <w:tc>
                <w:tcPr>
                  <w:tcW w:w="1104" w:type="pct"/>
                  <w:vAlign w:val="center"/>
                </w:tcPr>
                <w:p>
                  <w:pPr>
                    <w:snapToGrid w:val="0"/>
                    <w:jc w:val="center"/>
                    <w:rPr>
                      <w:bCs/>
                      <w:szCs w:val="21"/>
                    </w:rPr>
                  </w:pPr>
                  <w:r>
                    <w:rPr>
                      <w:rFonts w:hint="eastAsia"/>
                      <w:bCs/>
                      <w:szCs w:val="21"/>
                    </w:rPr>
                    <w:t>用水量（t/d）</w:t>
                  </w:r>
                </w:p>
              </w:tc>
              <w:tc>
                <w:tcPr>
                  <w:tcW w:w="1571" w:type="pct"/>
                  <w:vAlign w:val="center"/>
                </w:tcPr>
                <w:p>
                  <w:pPr>
                    <w:snapToGrid w:val="0"/>
                    <w:jc w:val="center"/>
                    <w:rPr>
                      <w:bCs/>
                      <w:szCs w:val="21"/>
                    </w:rPr>
                  </w:pPr>
                  <w:r>
                    <w:rPr>
                      <w:rFonts w:hint="eastAsia"/>
                      <w:bCs/>
                      <w:szCs w:val="21"/>
                    </w:rPr>
                    <w:t>用途</w:t>
                  </w:r>
                </w:p>
              </w:tc>
              <w:tc>
                <w:tcPr>
                  <w:tcW w:w="1156" w:type="pct"/>
                  <w:vAlign w:val="center"/>
                </w:tcPr>
                <w:p>
                  <w:pPr>
                    <w:snapToGrid w:val="0"/>
                    <w:jc w:val="center"/>
                    <w:rPr>
                      <w:bCs/>
                      <w:szCs w:val="21"/>
                    </w:rPr>
                  </w:pPr>
                  <w:r>
                    <w:rPr>
                      <w:rFonts w:hint="eastAsia"/>
                      <w:bCs/>
                      <w:szCs w:val="21"/>
                    </w:rPr>
                    <w:t>损耗</w:t>
                  </w:r>
                  <w:r>
                    <w:rPr>
                      <w:bCs/>
                      <w:szCs w:val="21"/>
                    </w:rPr>
                    <w:t>量</w:t>
                  </w:r>
                  <w:r>
                    <w:rPr>
                      <w:rFonts w:hint="eastAsia"/>
                      <w:bCs/>
                      <w:szCs w:val="21"/>
                    </w:rPr>
                    <w:t>（t/d）</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vAlign w:val="center"/>
                </w:tcPr>
                <w:p>
                  <w:pPr>
                    <w:snapToGrid w:val="0"/>
                    <w:jc w:val="center"/>
                    <w:rPr>
                      <w:bCs/>
                      <w:szCs w:val="21"/>
                    </w:rPr>
                  </w:pPr>
                  <w:r>
                    <w:rPr>
                      <w:rFonts w:hint="eastAsia"/>
                      <w:szCs w:val="21"/>
                    </w:rPr>
                    <w:t>新鲜水</w:t>
                  </w:r>
                </w:p>
              </w:tc>
              <w:tc>
                <w:tcPr>
                  <w:tcW w:w="1104" w:type="pct"/>
                  <w:vAlign w:val="center"/>
                </w:tcPr>
                <w:p>
                  <w:pPr>
                    <w:snapToGrid w:val="0"/>
                    <w:jc w:val="center"/>
                    <w:rPr>
                      <w:szCs w:val="21"/>
                    </w:rPr>
                  </w:pPr>
                  <w:r>
                    <w:rPr>
                      <w:rFonts w:hint="eastAsia"/>
                      <w:szCs w:val="21"/>
                    </w:rPr>
                    <w:t>16.54</w:t>
                  </w:r>
                </w:p>
              </w:tc>
              <w:tc>
                <w:tcPr>
                  <w:tcW w:w="1571" w:type="pct"/>
                  <w:vAlign w:val="center"/>
                </w:tcPr>
                <w:p>
                  <w:pPr>
                    <w:snapToGrid w:val="0"/>
                    <w:jc w:val="center"/>
                    <w:rPr>
                      <w:bCs/>
                      <w:szCs w:val="21"/>
                    </w:rPr>
                  </w:pPr>
                  <w:r>
                    <w:rPr>
                      <w:rFonts w:hint="eastAsia"/>
                      <w:bCs/>
                      <w:szCs w:val="21"/>
                    </w:rPr>
                    <w:t>生活用水</w:t>
                  </w:r>
                </w:p>
              </w:tc>
              <w:tc>
                <w:tcPr>
                  <w:tcW w:w="1156" w:type="pct"/>
                  <w:vAlign w:val="center"/>
                </w:tcPr>
                <w:p>
                  <w:pPr>
                    <w:snapToGrid w:val="0"/>
                    <w:jc w:val="center"/>
                    <w:rPr>
                      <w:bCs/>
                      <w:szCs w:val="21"/>
                    </w:rPr>
                  </w:pPr>
                  <w:r>
                    <w:rPr>
                      <w:rFonts w:hint="eastAsia"/>
                      <w:bCs/>
                      <w:szCs w:val="21"/>
                    </w:rPr>
                    <w:t>0.64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42" w:hRule="atLeast"/>
                <w:jc w:val="center"/>
              </w:trPr>
              <w:tc>
                <w:tcPr>
                  <w:tcW w:w="1169" w:type="pct"/>
                  <w:vAlign w:val="center"/>
                </w:tcPr>
                <w:p>
                  <w:pPr>
                    <w:snapToGrid w:val="0"/>
                    <w:jc w:val="center"/>
                    <w:rPr>
                      <w:bCs/>
                      <w:szCs w:val="21"/>
                    </w:rPr>
                  </w:pPr>
                  <w:r>
                    <w:rPr>
                      <w:rFonts w:hint="eastAsia"/>
                      <w:bCs/>
                      <w:szCs w:val="21"/>
                    </w:rPr>
                    <w:t>产品贮存沥水</w:t>
                  </w:r>
                </w:p>
              </w:tc>
              <w:tc>
                <w:tcPr>
                  <w:tcW w:w="1104" w:type="pct"/>
                  <w:vAlign w:val="center"/>
                </w:tcPr>
                <w:p>
                  <w:pPr>
                    <w:snapToGrid w:val="0"/>
                    <w:jc w:val="center"/>
                    <w:rPr>
                      <w:bCs/>
                      <w:szCs w:val="21"/>
                    </w:rPr>
                  </w:pPr>
                  <w:r>
                    <w:rPr>
                      <w:rFonts w:hint="eastAsia"/>
                      <w:bCs/>
                      <w:szCs w:val="21"/>
                    </w:rPr>
                    <w:t>52.4</w:t>
                  </w:r>
                </w:p>
              </w:tc>
              <w:tc>
                <w:tcPr>
                  <w:tcW w:w="1571" w:type="pct"/>
                  <w:vAlign w:val="center"/>
                </w:tcPr>
                <w:p>
                  <w:pPr>
                    <w:snapToGrid w:val="0"/>
                    <w:jc w:val="center"/>
                    <w:rPr>
                      <w:bCs/>
                      <w:szCs w:val="21"/>
                    </w:rPr>
                  </w:pPr>
                  <w:r>
                    <w:rPr>
                      <w:rFonts w:hint="eastAsia"/>
                      <w:bCs/>
                      <w:szCs w:val="21"/>
                    </w:rPr>
                    <w:t>洗煤用水</w:t>
                  </w:r>
                </w:p>
              </w:tc>
              <w:tc>
                <w:tcPr>
                  <w:tcW w:w="1156" w:type="pct"/>
                  <w:vAlign w:val="center"/>
                </w:tcPr>
                <w:p>
                  <w:pPr>
                    <w:snapToGrid w:val="0"/>
                    <w:jc w:val="center"/>
                    <w:rPr>
                      <w:bCs/>
                      <w:szCs w:val="21"/>
                    </w:rPr>
                  </w:pPr>
                  <w:r>
                    <w:rPr>
                      <w:rFonts w:hint="eastAsia"/>
                      <w:bCs/>
                      <w:szCs w:val="21"/>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vAlign w:val="center"/>
                </w:tcPr>
                <w:p>
                  <w:pPr>
                    <w:snapToGrid w:val="0"/>
                    <w:jc w:val="center"/>
                    <w:rPr>
                      <w:bCs/>
                      <w:szCs w:val="21"/>
                    </w:rPr>
                  </w:pPr>
                  <w:r>
                    <w:rPr>
                      <w:rFonts w:hint="eastAsia"/>
                      <w:szCs w:val="21"/>
                    </w:rPr>
                    <w:t>初期雨水</w:t>
                  </w:r>
                </w:p>
              </w:tc>
              <w:tc>
                <w:tcPr>
                  <w:tcW w:w="1104" w:type="pct"/>
                  <w:vAlign w:val="center"/>
                </w:tcPr>
                <w:p>
                  <w:pPr>
                    <w:snapToGrid w:val="0"/>
                    <w:jc w:val="center"/>
                    <w:rPr>
                      <w:bCs/>
                      <w:szCs w:val="21"/>
                    </w:rPr>
                  </w:pPr>
                  <w:r>
                    <w:rPr>
                      <w:rFonts w:hint="eastAsia"/>
                      <w:bCs/>
                      <w:szCs w:val="21"/>
                    </w:rPr>
                    <w:t>2.3</w:t>
                  </w:r>
                </w:p>
              </w:tc>
              <w:tc>
                <w:tcPr>
                  <w:tcW w:w="1571" w:type="pct"/>
                  <w:vAlign w:val="center"/>
                </w:tcPr>
                <w:p>
                  <w:pPr>
                    <w:snapToGrid w:val="0"/>
                    <w:jc w:val="center"/>
                    <w:rPr>
                      <w:bCs/>
                      <w:szCs w:val="21"/>
                    </w:rPr>
                  </w:pPr>
                  <w:r>
                    <w:rPr>
                      <w:rFonts w:hint="eastAsia"/>
                      <w:bCs/>
                      <w:szCs w:val="21"/>
                    </w:rPr>
                    <w:t>压滤机清洗用水</w:t>
                  </w:r>
                </w:p>
              </w:tc>
              <w:tc>
                <w:tcPr>
                  <w:tcW w:w="1156" w:type="pct"/>
                  <w:vAlign w:val="center"/>
                </w:tcPr>
                <w:p>
                  <w:pPr>
                    <w:snapToGrid w:val="0"/>
                    <w:jc w:val="center"/>
                    <w:rPr>
                      <w:bCs/>
                      <w:szCs w:val="21"/>
                    </w:rPr>
                  </w:pPr>
                  <w:r>
                    <w:rPr>
                      <w:rFonts w:hint="eastAsia"/>
                      <w:bCs/>
                      <w:szCs w:val="21"/>
                    </w:rPr>
                    <w:t>0.2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tcPr>
                <w:p>
                  <w:pPr>
                    <w:snapToGrid w:val="0"/>
                    <w:jc w:val="center"/>
                    <w:rPr>
                      <w:bCs/>
                      <w:szCs w:val="21"/>
                    </w:rPr>
                  </w:pPr>
                  <w:r>
                    <w:rPr>
                      <w:rFonts w:hint="eastAsia"/>
                      <w:bCs/>
                      <w:szCs w:val="21"/>
                    </w:rPr>
                    <w:t>/</w:t>
                  </w:r>
                </w:p>
              </w:tc>
              <w:tc>
                <w:tcPr>
                  <w:tcW w:w="1104" w:type="pct"/>
                </w:tcPr>
                <w:p>
                  <w:pPr>
                    <w:snapToGrid w:val="0"/>
                    <w:jc w:val="center"/>
                    <w:rPr>
                      <w:bCs/>
                      <w:szCs w:val="21"/>
                    </w:rPr>
                  </w:pPr>
                  <w:r>
                    <w:rPr>
                      <w:rFonts w:hint="eastAsia"/>
                      <w:bCs/>
                      <w:szCs w:val="21"/>
                    </w:rPr>
                    <w:t>/</w:t>
                  </w:r>
                </w:p>
              </w:tc>
              <w:tc>
                <w:tcPr>
                  <w:tcW w:w="1571" w:type="pct"/>
                  <w:vAlign w:val="center"/>
                </w:tcPr>
                <w:p>
                  <w:pPr>
                    <w:snapToGrid w:val="0"/>
                    <w:jc w:val="center"/>
                    <w:rPr>
                      <w:bCs/>
                      <w:szCs w:val="21"/>
                    </w:rPr>
                  </w:pPr>
                  <w:r>
                    <w:rPr>
                      <w:rFonts w:hint="eastAsia"/>
                      <w:bCs/>
                      <w:szCs w:val="21"/>
                    </w:rPr>
                    <w:t>地面清洗用水</w:t>
                  </w:r>
                </w:p>
              </w:tc>
              <w:tc>
                <w:tcPr>
                  <w:tcW w:w="1156" w:type="pct"/>
                  <w:vAlign w:val="center"/>
                </w:tcPr>
                <w:p>
                  <w:pPr>
                    <w:snapToGrid w:val="0"/>
                    <w:jc w:val="center"/>
                    <w:rPr>
                      <w:bCs/>
                      <w:szCs w:val="21"/>
                    </w:rPr>
                  </w:pPr>
                  <w:r>
                    <w:rPr>
                      <w:rFonts w:hint="eastAsia"/>
                      <w:bCs/>
                      <w:szCs w:val="21"/>
                    </w:rPr>
                    <w:t>2.4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tcPr>
                <w:p>
                  <w:pPr>
                    <w:snapToGrid w:val="0"/>
                    <w:jc w:val="center"/>
                    <w:rPr>
                      <w:bCs/>
                      <w:szCs w:val="21"/>
                    </w:rPr>
                  </w:pPr>
                  <w:r>
                    <w:rPr>
                      <w:rFonts w:hint="eastAsia"/>
                      <w:bCs/>
                      <w:szCs w:val="21"/>
                    </w:rPr>
                    <w:t>/</w:t>
                  </w:r>
                </w:p>
              </w:tc>
              <w:tc>
                <w:tcPr>
                  <w:tcW w:w="1104" w:type="pct"/>
                </w:tcPr>
                <w:p>
                  <w:pPr>
                    <w:snapToGrid w:val="0"/>
                    <w:jc w:val="center"/>
                    <w:rPr>
                      <w:bCs/>
                      <w:szCs w:val="21"/>
                    </w:rPr>
                  </w:pPr>
                  <w:r>
                    <w:rPr>
                      <w:rFonts w:hint="eastAsia"/>
                      <w:bCs/>
                      <w:szCs w:val="21"/>
                    </w:rPr>
                    <w:t>/</w:t>
                  </w:r>
                </w:p>
              </w:tc>
              <w:tc>
                <w:tcPr>
                  <w:tcW w:w="1571" w:type="pct"/>
                  <w:vAlign w:val="center"/>
                </w:tcPr>
                <w:p>
                  <w:pPr>
                    <w:snapToGrid w:val="0"/>
                    <w:jc w:val="center"/>
                    <w:rPr>
                      <w:bCs/>
                      <w:szCs w:val="21"/>
                    </w:rPr>
                  </w:pPr>
                  <w:r>
                    <w:rPr>
                      <w:rFonts w:hint="eastAsia"/>
                      <w:bCs/>
                      <w:szCs w:val="21"/>
                    </w:rPr>
                    <w:t>车辆清洗用水</w:t>
                  </w:r>
                </w:p>
              </w:tc>
              <w:tc>
                <w:tcPr>
                  <w:tcW w:w="1156" w:type="pct"/>
                  <w:vAlign w:val="center"/>
                </w:tcPr>
                <w:p>
                  <w:pPr>
                    <w:snapToGrid w:val="0"/>
                    <w:jc w:val="center"/>
                    <w:rPr>
                      <w:bCs/>
                      <w:szCs w:val="21"/>
                    </w:rPr>
                  </w:pPr>
                  <w:r>
                    <w:rPr>
                      <w:rFonts w:hint="eastAsia"/>
                      <w:bCs/>
                      <w:szCs w:val="21"/>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tcPr>
                <w:p>
                  <w:pPr>
                    <w:snapToGrid w:val="0"/>
                    <w:jc w:val="center"/>
                    <w:rPr>
                      <w:bCs/>
                      <w:szCs w:val="21"/>
                    </w:rPr>
                  </w:pPr>
                  <w:r>
                    <w:rPr>
                      <w:rFonts w:hint="eastAsia"/>
                      <w:bCs/>
                      <w:szCs w:val="21"/>
                    </w:rPr>
                    <w:t>/</w:t>
                  </w:r>
                </w:p>
              </w:tc>
              <w:tc>
                <w:tcPr>
                  <w:tcW w:w="1104" w:type="pct"/>
                </w:tcPr>
                <w:p>
                  <w:pPr>
                    <w:snapToGrid w:val="0"/>
                    <w:jc w:val="center"/>
                    <w:rPr>
                      <w:bCs/>
                      <w:szCs w:val="21"/>
                    </w:rPr>
                  </w:pPr>
                  <w:r>
                    <w:rPr>
                      <w:rFonts w:hint="eastAsia"/>
                      <w:bCs/>
                      <w:szCs w:val="21"/>
                    </w:rPr>
                    <w:t>/</w:t>
                  </w:r>
                </w:p>
              </w:tc>
              <w:tc>
                <w:tcPr>
                  <w:tcW w:w="1571" w:type="pct"/>
                  <w:vAlign w:val="center"/>
                </w:tcPr>
                <w:p>
                  <w:pPr>
                    <w:snapToGrid w:val="0"/>
                    <w:jc w:val="center"/>
                    <w:rPr>
                      <w:bCs/>
                      <w:szCs w:val="21"/>
                    </w:rPr>
                  </w:pPr>
                  <w:r>
                    <w:rPr>
                      <w:rFonts w:hint="eastAsia"/>
                      <w:bCs/>
                      <w:szCs w:val="21"/>
                    </w:rPr>
                    <w:t>洒水降尘用水</w:t>
                  </w:r>
                </w:p>
              </w:tc>
              <w:tc>
                <w:tcPr>
                  <w:tcW w:w="1156" w:type="pct"/>
                  <w:vAlign w:val="center"/>
                </w:tcPr>
                <w:p>
                  <w:pPr>
                    <w:snapToGrid w:val="0"/>
                    <w:jc w:val="center"/>
                    <w:rPr>
                      <w:bCs/>
                      <w:szCs w:val="21"/>
                    </w:rPr>
                  </w:pPr>
                  <w:r>
                    <w:rPr>
                      <w:rFonts w:hint="eastAsia"/>
                      <w:bCs/>
                      <w:szCs w:val="21"/>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7" w:hRule="atLeast"/>
                <w:jc w:val="center"/>
              </w:trPr>
              <w:tc>
                <w:tcPr>
                  <w:tcW w:w="1169" w:type="pct"/>
                </w:tcPr>
                <w:p>
                  <w:pPr>
                    <w:snapToGrid w:val="0"/>
                    <w:jc w:val="center"/>
                    <w:rPr>
                      <w:bCs/>
                      <w:szCs w:val="21"/>
                    </w:rPr>
                  </w:pPr>
                  <w:r>
                    <w:rPr>
                      <w:kern w:val="0"/>
                      <w:szCs w:val="21"/>
                    </w:rPr>
                    <w:t>总计</w:t>
                  </w:r>
                </w:p>
              </w:tc>
              <w:tc>
                <w:tcPr>
                  <w:tcW w:w="1104" w:type="pct"/>
                </w:tcPr>
                <w:p>
                  <w:pPr>
                    <w:snapToGrid w:val="0"/>
                    <w:jc w:val="center"/>
                    <w:rPr>
                      <w:bCs/>
                      <w:szCs w:val="21"/>
                    </w:rPr>
                  </w:pPr>
                  <w:r>
                    <w:rPr>
                      <w:rFonts w:hint="eastAsia"/>
                      <w:bCs/>
                      <w:szCs w:val="21"/>
                    </w:rPr>
                    <w:t>71.24</w:t>
                  </w:r>
                </w:p>
              </w:tc>
              <w:tc>
                <w:tcPr>
                  <w:tcW w:w="1571" w:type="pct"/>
                  <w:vAlign w:val="center"/>
                </w:tcPr>
                <w:p>
                  <w:pPr>
                    <w:snapToGrid w:val="0"/>
                    <w:jc w:val="center"/>
                    <w:rPr>
                      <w:kern w:val="0"/>
                      <w:szCs w:val="21"/>
                    </w:rPr>
                  </w:pPr>
                  <w:r>
                    <w:rPr>
                      <w:kern w:val="0"/>
                      <w:szCs w:val="21"/>
                    </w:rPr>
                    <w:t>总计</w:t>
                  </w:r>
                </w:p>
              </w:tc>
              <w:tc>
                <w:tcPr>
                  <w:tcW w:w="1156" w:type="pct"/>
                  <w:vAlign w:val="center"/>
                </w:tcPr>
                <w:p>
                  <w:pPr>
                    <w:snapToGrid w:val="0"/>
                    <w:jc w:val="center"/>
                    <w:rPr>
                      <w:bCs/>
                      <w:szCs w:val="21"/>
                    </w:rPr>
                  </w:pPr>
                  <w:r>
                    <w:rPr>
                      <w:rFonts w:hint="eastAsia"/>
                      <w:bCs/>
                      <w:szCs w:val="21"/>
                    </w:rPr>
                    <w:t>71.24</w:t>
                  </w:r>
                </w:p>
              </w:tc>
            </w:tr>
          </w:tbl>
          <w:p>
            <w:pPr>
              <w:pStyle w:val="52"/>
              <w:adjustRightInd w:val="0"/>
              <w:snapToGrid w:val="0"/>
              <w:spacing w:line="500" w:lineRule="exact"/>
              <w:ind w:firstLine="720" w:firstLineChars="300"/>
              <w:rPr>
                <w:rFonts w:cs="Times New Roman"/>
                <w:color w:val="auto"/>
                <w:sz w:val="24"/>
              </w:rPr>
            </w:pPr>
            <w:r>
              <w:rPr>
                <w:rFonts w:cs="Times New Roman"/>
                <w:color w:val="auto"/>
                <w:sz w:val="24"/>
              </w:rPr>
              <w:t>3</w:t>
            </w:r>
            <w:r>
              <w:rPr>
                <w:rFonts w:hint="eastAsia" w:cs="Times New Roman"/>
                <w:color w:val="auto"/>
                <w:sz w:val="24"/>
              </w:rPr>
              <w:t>、</w:t>
            </w:r>
            <w:r>
              <w:rPr>
                <w:rFonts w:cs="Times New Roman"/>
                <w:color w:val="auto"/>
                <w:sz w:val="24"/>
              </w:rPr>
              <w:t>供电：本项目用电由当地电网供给。</w:t>
            </w:r>
          </w:p>
          <w:p>
            <w:pPr>
              <w:pStyle w:val="52"/>
              <w:adjustRightInd w:val="0"/>
              <w:snapToGrid w:val="0"/>
              <w:spacing w:line="500" w:lineRule="exact"/>
              <w:ind w:firstLine="720" w:firstLineChars="300"/>
              <w:rPr>
                <w:rFonts w:cs="Times New Roman"/>
                <w:color w:val="auto"/>
                <w:sz w:val="24"/>
              </w:rPr>
            </w:pPr>
            <w:r>
              <w:rPr>
                <w:rFonts w:cs="Times New Roman"/>
                <w:color w:val="auto"/>
                <w:sz w:val="24"/>
              </w:rPr>
              <w:t>4</w:t>
            </w:r>
            <w:r>
              <w:rPr>
                <w:rFonts w:hint="eastAsia" w:cs="Times New Roman"/>
                <w:color w:val="auto"/>
                <w:sz w:val="24"/>
              </w:rPr>
              <w:t>、</w:t>
            </w:r>
            <w:r>
              <w:rPr>
                <w:rFonts w:cs="Times New Roman"/>
                <w:color w:val="auto"/>
                <w:sz w:val="24"/>
              </w:rPr>
              <w:t>供热：</w:t>
            </w:r>
            <w:r>
              <w:rPr>
                <w:rFonts w:hint="eastAsia" w:cs="Times New Roman"/>
                <w:color w:val="auto"/>
                <w:sz w:val="24"/>
              </w:rPr>
              <w:t>本项目办公室及生产车间采用电取暖。</w:t>
            </w:r>
          </w:p>
          <w:p>
            <w:pPr>
              <w:pStyle w:val="52"/>
              <w:adjustRightInd w:val="0"/>
              <w:snapToGrid w:val="0"/>
              <w:spacing w:line="500" w:lineRule="exact"/>
              <w:ind w:firstLine="482"/>
              <w:rPr>
                <w:rFonts w:cs="Times New Roman"/>
                <w:b/>
                <w:bCs/>
                <w:color w:val="auto"/>
                <w:sz w:val="24"/>
              </w:rPr>
            </w:pPr>
            <w:r>
              <w:rPr>
                <w:rFonts w:cs="Times New Roman"/>
                <w:b/>
                <w:bCs/>
                <w:color w:val="auto"/>
                <w:sz w:val="24"/>
              </w:rPr>
              <w:t>六、环保投资</w:t>
            </w:r>
          </w:p>
          <w:p>
            <w:pPr>
              <w:pStyle w:val="52"/>
              <w:adjustRightInd w:val="0"/>
              <w:snapToGrid w:val="0"/>
              <w:spacing w:line="500" w:lineRule="exact"/>
              <w:ind w:firstLine="480"/>
              <w:rPr>
                <w:rFonts w:cs="Times New Roman"/>
                <w:color w:val="auto"/>
                <w:sz w:val="24"/>
              </w:rPr>
            </w:pPr>
            <w:r>
              <w:rPr>
                <w:rFonts w:cs="Times New Roman"/>
                <w:color w:val="auto"/>
                <w:sz w:val="24"/>
              </w:rPr>
              <w:t>项目环保投资具体情况参见下表。</w:t>
            </w:r>
          </w:p>
          <w:p>
            <w:pPr>
              <w:pStyle w:val="46"/>
              <w:adjustRightInd/>
              <w:snapToGrid/>
              <w:rPr>
                <w:rFonts w:eastAsia="宋体" w:cs="Times New Roman"/>
                <w:bCs/>
                <w:szCs w:val="24"/>
              </w:rPr>
            </w:pPr>
            <w:r>
              <w:rPr>
                <w:rFonts w:eastAsia="宋体" w:cs="Times New Roman"/>
                <w:bCs/>
                <w:szCs w:val="24"/>
              </w:rPr>
              <w:t>表2-</w:t>
            </w:r>
            <w:r>
              <w:rPr>
                <w:rFonts w:hint="eastAsia" w:eastAsia="宋体" w:cs="Times New Roman"/>
                <w:bCs/>
                <w:szCs w:val="24"/>
              </w:rPr>
              <w:t>7</w:t>
            </w:r>
            <w:r>
              <w:rPr>
                <w:rFonts w:eastAsia="宋体" w:cs="Times New Roman"/>
                <w:bCs/>
                <w:szCs w:val="24"/>
              </w:rPr>
              <w:t xml:space="preserve"> 环保投资一览表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9"/>
              <w:gridCol w:w="1276"/>
              <w:gridCol w:w="1983"/>
              <w:gridCol w:w="3400"/>
              <w:gridCol w:w="6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77" w:type="pct"/>
                  <w:gridSpan w:val="2"/>
                  <w:vAlign w:val="center"/>
                </w:tcPr>
                <w:p>
                  <w:pPr>
                    <w:jc w:val="center"/>
                  </w:pPr>
                  <w:r>
                    <w:t>项目</w:t>
                  </w:r>
                </w:p>
              </w:tc>
              <w:tc>
                <w:tcPr>
                  <w:tcW w:w="1290" w:type="pct"/>
                  <w:vAlign w:val="center"/>
                </w:tcPr>
                <w:p>
                  <w:pPr>
                    <w:jc w:val="center"/>
                  </w:pPr>
                  <w:r>
                    <w:rPr>
                      <w:rFonts w:hint="eastAsia"/>
                    </w:rPr>
                    <w:t>污染源</w:t>
                  </w:r>
                </w:p>
              </w:tc>
              <w:tc>
                <w:tcPr>
                  <w:tcW w:w="2212" w:type="pct"/>
                  <w:vAlign w:val="center"/>
                </w:tcPr>
                <w:p>
                  <w:pPr>
                    <w:jc w:val="center"/>
                  </w:pPr>
                  <w:r>
                    <w:t>内容</w:t>
                  </w:r>
                </w:p>
              </w:tc>
              <w:tc>
                <w:tcPr>
                  <w:tcW w:w="421" w:type="pct"/>
                  <w:vAlign w:val="center"/>
                </w:tcPr>
                <w:p>
                  <w:pPr>
                    <w:jc w:val="center"/>
                  </w:pPr>
                  <w:r>
                    <w:t>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247" w:type="pct"/>
                  <w:vMerge w:val="restart"/>
                  <w:vAlign w:val="center"/>
                </w:tcPr>
                <w:p>
                  <w:pPr>
                    <w:jc w:val="center"/>
                  </w:pPr>
                  <w:r>
                    <w:rPr>
                      <w:rFonts w:hint="eastAsia"/>
                    </w:rPr>
                    <w:t>施工期</w:t>
                  </w:r>
                </w:p>
              </w:tc>
              <w:tc>
                <w:tcPr>
                  <w:tcW w:w="830" w:type="pct"/>
                  <w:vAlign w:val="center"/>
                </w:tcPr>
                <w:p>
                  <w:pPr>
                    <w:jc w:val="center"/>
                  </w:pPr>
                  <w:r>
                    <w:rPr>
                      <w:rFonts w:hint="eastAsia"/>
                    </w:rPr>
                    <w:t>废气治理</w:t>
                  </w:r>
                </w:p>
              </w:tc>
              <w:tc>
                <w:tcPr>
                  <w:tcW w:w="1290" w:type="pct"/>
                  <w:vAlign w:val="center"/>
                </w:tcPr>
                <w:p>
                  <w:pPr>
                    <w:jc w:val="center"/>
                  </w:pPr>
                  <w:r>
                    <w:rPr>
                      <w:rFonts w:hint="eastAsia"/>
                    </w:rPr>
                    <w:t>土地清理、挖掘</w:t>
                  </w:r>
                </w:p>
                <w:p>
                  <w:pPr>
                    <w:jc w:val="center"/>
                  </w:pPr>
                  <w:r>
                    <w:rPr>
                      <w:rFonts w:hint="eastAsia"/>
                    </w:rPr>
                    <w:t>等产生扬尘</w:t>
                  </w:r>
                </w:p>
              </w:tc>
              <w:tc>
                <w:tcPr>
                  <w:tcW w:w="2212" w:type="pct"/>
                  <w:vAlign w:val="center"/>
                </w:tcPr>
                <w:p>
                  <w:pPr>
                    <w:jc w:val="center"/>
                  </w:pPr>
                  <w:r>
                    <w:rPr>
                      <w:rFonts w:hint="eastAsia"/>
                    </w:rPr>
                    <w:t>施工区域周围设置围挡、苫布覆盖</w:t>
                  </w:r>
                </w:p>
              </w:tc>
              <w:tc>
                <w:tcPr>
                  <w:tcW w:w="421" w:type="pct"/>
                  <w:vAlign w:val="center"/>
                </w:tcPr>
                <w:p>
                  <w:pPr>
                    <w:jc w:val="center"/>
                  </w:pPr>
                  <w:r>
                    <w:rPr>
                      <w:rFonts w:hint="eastAsia"/>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247" w:type="pct"/>
                  <w:vMerge w:val="continue"/>
                  <w:vAlign w:val="center"/>
                </w:tcPr>
                <w:p>
                  <w:pPr>
                    <w:jc w:val="center"/>
                  </w:pPr>
                </w:p>
              </w:tc>
              <w:tc>
                <w:tcPr>
                  <w:tcW w:w="830" w:type="pct"/>
                  <w:vAlign w:val="center"/>
                </w:tcPr>
                <w:p>
                  <w:pPr>
                    <w:jc w:val="center"/>
                  </w:pPr>
                  <w:r>
                    <w:rPr>
                      <w:rFonts w:hint="eastAsia"/>
                    </w:rPr>
                    <w:t>废水治理</w:t>
                  </w:r>
                </w:p>
              </w:tc>
              <w:tc>
                <w:tcPr>
                  <w:tcW w:w="1290" w:type="pct"/>
                  <w:vAlign w:val="center"/>
                </w:tcPr>
                <w:p>
                  <w:pPr>
                    <w:jc w:val="center"/>
                  </w:pPr>
                  <w:r>
                    <w:rPr>
                      <w:rFonts w:hint="eastAsia"/>
                    </w:rPr>
                    <w:t>施工人员生活污水</w:t>
                  </w:r>
                </w:p>
              </w:tc>
              <w:tc>
                <w:tcPr>
                  <w:tcW w:w="2212" w:type="pct"/>
                  <w:vAlign w:val="center"/>
                </w:tcPr>
                <w:p>
                  <w:pPr>
                    <w:jc w:val="center"/>
                  </w:pPr>
                  <w:r>
                    <w:rPr>
                      <w:rFonts w:hint="eastAsia"/>
                    </w:rPr>
                    <w:t>防渗旱厕</w:t>
                  </w:r>
                </w:p>
              </w:tc>
              <w:tc>
                <w:tcPr>
                  <w:tcW w:w="421" w:type="pct"/>
                  <w:vAlign w:val="center"/>
                </w:tcPr>
                <w:p>
                  <w:pPr>
                    <w:jc w:val="center"/>
                  </w:pPr>
                  <w:r>
                    <w:rPr>
                      <w:rFonts w:hint="eastAsia"/>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7" w:type="pct"/>
                  <w:vMerge w:val="continue"/>
                  <w:vAlign w:val="center"/>
                </w:tcPr>
                <w:p>
                  <w:pPr>
                    <w:jc w:val="center"/>
                  </w:pPr>
                </w:p>
              </w:tc>
              <w:tc>
                <w:tcPr>
                  <w:tcW w:w="830" w:type="pct"/>
                  <w:vAlign w:val="center"/>
                </w:tcPr>
                <w:p>
                  <w:pPr>
                    <w:jc w:val="center"/>
                  </w:pPr>
                  <w:r>
                    <w:rPr>
                      <w:rFonts w:hint="eastAsia"/>
                    </w:rPr>
                    <w:t>噪声治理</w:t>
                  </w:r>
                </w:p>
              </w:tc>
              <w:tc>
                <w:tcPr>
                  <w:tcW w:w="1290" w:type="pct"/>
                  <w:vAlign w:val="center"/>
                </w:tcPr>
                <w:p>
                  <w:pPr>
                    <w:jc w:val="center"/>
                  </w:pPr>
                  <w:r>
                    <w:rPr>
                      <w:rFonts w:hint="eastAsia"/>
                    </w:rPr>
                    <w:t>施工设备</w:t>
                  </w:r>
                </w:p>
              </w:tc>
              <w:tc>
                <w:tcPr>
                  <w:tcW w:w="2212" w:type="pct"/>
                  <w:vAlign w:val="center"/>
                </w:tcPr>
                <w:p>
                  <w:pPr>
                    <w:jc w:val="center"/>
                  </w:pPr>
                  <w:r>
                    <w:rPr>
                      <w:rFonts w:hint="eastAsia"/>
                    </w:rPr>
                    <w:t>施工区域周围设置围挡</w:t>
                  </w:r>
                </w:p>
              </w:tc>
              <w:tc>
                <w:tcPr>
                  <w:tcW w:w="421" w:type="pct"/>
                  <w:vAlign w:val="center"/>
                </w:tcPr>
                <w:p>
                  <w:pPr>
                    <w:jc w:val="center"/>
                  </w:pPr>
                  <w:r>
                    <w:rPr>
                      <w:rFonts w:hint="eastAsia"/>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7" w:type="pct"/>
                  <w:vMerge w:val="continue"/>
                  <w:vAlign w:val="center"/>
                </w:tcPr>
                <w:p>
                  <w:pPr>
                    <w:jc w:val="center"/>
                  </w:pPr>
                </w:p>
              </w:tc>
              <w:tc>
                <w:tcPr>
                  <w:tcW w:w="830" w:type="pct"/>
                  <w:vAlign w:val="center"/>
                </w:tcPr>
                <w:p>
                  <w:pPr>
                    <w:jc w:val="center"/>
                  </w:pPr>
                  <w:r>
                    <w:rPr>
                      <w:rFonts w:hint="eastAsia"/>
                    </w:rPr>
                    <w:t>固废治理</w:t>
                  </w:r>
                </w:p>
              </w:tc>
              <w:tc>
                <w:tcPr>
                  <w:tcW w:w="1290" w:type="pct"/>
                </w:tcPr>
                <w:p>
                  <w:pPr>
                    <w:jc w:val="center"/>
                  </w:pPr>
                  <w:r>
                    <w:rPr>
                      <w:rFonts w:hint="eastAsia"/>
                    </w:rPr>
                    <w:t>施工人员生活垃圾</w:t>
                  </w:r>
                </w:p>
              </w:tc>
              <w:tc>
                <w:tcPr>
                  <w:tcW w:w="2212" w:type="pct"/>
                  <w:vAlign w:val="center"/>
                </w:tcPr>
                <w:p>
                  <w:pPr>
                    <w:jc w:val="center"/>
                  </w:pPr>
                  <w:r>
                    <w:rPr>
                      <w:rFonts w:hint="eastAsia"/>
                    </w:rPr>
                    <w:t>生活垃圾收集箱</w:t>
                  </w:r>
                </w:p>
              </w:tc>
              <w:tc>
                <w:tcPr>
                  <w:tcW w:w="421" w:type="pct"/>
                  <w:vAlign w:val="center"/>
                </w:tcPr>
                <w:p>
                  <w:pPr>
                    <w:jc w:val="center"/>
                  </w:pPr>
                  <w:r>
                    <w:rPr>
                      <w:rFonts w:hint="eastAsia"/>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7" w:type="pct"/>
                  <w:vMerge w:val="restart"/>
                  <w:vAlign w:val="center"/>
                </w:tcPr>
                <w:p>
                  <w:pPr>
                    <w:jc w:val="center"/>
                  </w:pPr>
                  <w:r>
                    <w:t>运营期</w:t>
                  </w:r>
                </w:p>
              </w:tc>
              <w:tc>
                <w:tcPr>
                  <w:tcW w:w="830" w:type="pct"/>
                  <w:vAlign w:val="center"/>
                </w:tcPr>
                <w:p>
                  <w:pPr>
                    <w:jc w:val="center"/>
                  </w:pPr>
                  <w:r>
                    <w:t>废气治理</w:t>
                  </w:r>
                </w:p>
              </w:tc>
              <w:tc>
                <w:tcPr>
                  <w:tcW w:w="1290" w:type="pct"/>
                  <w:vAlign w:val="center"/>
                </w:tcPr>
                <w:p>
                  <w:pPr>
                    <w:jc w:val="center"/>
                  </w:pPr>
                  <w:r>
                    <w:rPr>
                      <w:rFonts w:hint="eastAsia"/>
                    </w:rPr>
                    <w:t>物料堆放、装卸粉尘、原料运输和转运扬尘、运输车辆扬尘</w:t>
                  </w:r>
                </w:p>
              </w:tc>
              <w:tc>
                <w:tcPr>
                  <w:tcW w:w="2212" w:type="pct"/>
                  <w:vAlign w:val="center"/>
                </w:tcPr>
                <w:p>
                  <w:r>
                    <w:rPr>
                      <w:rFonts w:hint="eastAsia"/>
                    </w:rPr>
                    <w:t>场地硬化，洒水喷淋装置，运输和转运工段采取输送带全密闭、转运点设置洒水喷淋等降尘措施；遮盖、限载、采用箱式运输车，配置洒水和清扫设施，及时清扫路面</w:t>
                  </w:r>
                </w:p>
              </w:tc>
              <w:tc>
                <w:tcPr>
                  <w:tcW w:w="421" w:type="pct"/>
                  <w:vAlign w:val="center"/>
                </w:tcPr>
                <w:p>
                  <w:pPr>
                    <w:jc w:val="center"/>
                  </w:pPr>
                  <w:r>
                    <w:rPr>
                      <w:rFonts w:hint="eastAsia"/>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7" w:type="pct"/>
                  <w:vMerge w:val="continue"/>
                  <w:vAlign w:val="center"/>
                </w:tcPr>
                <w:p>
                  <w:pPr>
                    <w:jc w:val="center"/>
                  </w:pPr>
                </w:p>
              </w:tc>
              <w:tc>
                <w:tcPr>
                  <w:tcW w:w="830" w:type="pct"/>
                  <w:vAlign w:val="center"/>
                </w:tcPr>
                <w:p>
                  <w:pPr>
                    <w:jc w:val="center"/>
                  </w:pPr>
                  <w:r>
                    <w:t>废水治理</w:t>
                  </w:r>
                </w:p>
              </w:tc>
              <w:tc>
                <w:tcPr>
                  <w:tcW w:w="1290" w:type="pct"/>
                  <w:vAlign w:val="center"/>
                </w:tcPr>
                <w:p>
                  <w:pPr>
                    <w:jc w:val="center"/>
                  </w:pPr>
                  <w:r>
                    <w:rPr>
                      <w:rFonts w:hint="eastAsia"/>
                    </w:rPr>
                    <w:t>生活污水、生产废水处理装置、初期雨水</w:t>
                  </w:r>
                </w:p>
              </w:tc>
              <w:tc>
                <w:tcPr>
                  <w:tcW w:w="2212" w:type="pct"/>
                  <w:vAlign w:val="center"/>
                </w:tcPr>
                <w:p>
                  <w:pPr>
                    <w:jc w:val="center"/>
                  </w:pPr>
                  <w:r>
                    <w:rPr>
                      <w:rFonts w:hint="eastAsia"/>
                    </w:rPr>
                    <w:t>防渗旱厕定期清掏，外运堆肥，不外排；50</w:t>
                  </w:r>
                  <w:r>
                    <w:t>m</w:t>
                  </w:r>
                  <w:r>
                    <w:rPr>
                      <w:vertAlign w:val="superscript"/>
                    </w:rPr>
                    <w:t>3</w:t>
                  </w:r>
                  <w:r>
                    <w:rPr>
                      <w:rFonts w:hint="eastAsia"/>
                    </w:rPr>
                    <w:t>防渗循环水池；初期雨水收集池</w:t>
                  </w:r>
                </w:p>
              </w:tc>
              <w:tc>
                <w:tcPr>
                  <w:tcW w:w="421" w:type="pct"/>
                  <w:vAlign w:val="center"/>
                </w:tcPr>
                <w:p>
                  <w:pPr>
                    <w:jc w:val="center"/>
                  </w:pPr>
                  <w:r>
                    <w:rPr>
                      <w:rFonts w:hint="eastAsia"/>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7" w:type="pct"/>
                  <w:vMerge w:val="continue"/>
                  <w:vAlign w:val="center"/>
                </w:tcPr>
                <w:p>
                  <w:pPr>
                    <w:jc w:val="center"/>
                  </w:pPr>
                </w:p>
              </w:tc>
              <w:tc>
                <w:tcPr>
                  <w:tcW w:w="830" w:type="pct"/>
                  <w:vAlign w:val="center"/>
                </w:tcPr>
                <w:p>
                  <w:pPr>
                    <w:jc w:val="center"/>
                  </w:pPr>
                  <w:r>
                    <w:t>噪声治理</w:t>
                  </w:r>
                </w:p>
              </w:tc>
              <w:tc>
                <w:tcPr>
                  <w:tcW w:w="1290" w:type="pct"/>
                  <w:vAlign w:val="center"/>
                </w:tcPr>
                <w:p>
                  <w:pPr>
                    <w:jc w:val="center"/>
                  </w:pPr>
                  <w:r>
                    <w:rPr>
                      <w:rFonts w:hint="eastAsia"/>
                    </w:rPr>
                    <w:t>设备噪声</w:t>
                  </w:r>
                </w:p>
              </w:tc>
              <w:tc>
                <w:tcPr>
                  <w:tcW w:w="2212" w:type="pct"/>
                  <w:vAlign w:val="center"/>
                </w:tcPr>
                <w:p>
                  <w:pPr>
                    <w:jc w:val="center"/>
                  </w:pPr>
                  <w:r>
                    <w:t>低噪环保设备，采取减振、降噪、隔声等</w:t>
                  </w:r>
                </w:p>
              </w:tc>
              <w:tc>
                <w:tcPr>
                  <w:tcW w:w="421" w:type="pct"/>
                  <w:vAlign w:val="center"/>
                </w:tcPr>
                <w:p>
                  <w:pPr>
                    <w:jc w:val="center"/>
                  </w:pPr>
                  <w:r>
                    <w:rPr>
                      <w:rFonts w:hint="eastAsia"/>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7" w:type="pct"/>
                  <w:vMerge w:val="continue"/>
                  <w:vAlign w:val="center"/>
                </w:tcPr>
                <w:p>
                  <w:pPr>
                    <w:jc w:val="center"/>
                  </w:pPr>
                </w:p>
              </w:tc>
              <w:tc>
                <w:tcPr>
                  <w:tcW w:w="830" w:type="pct"/>
                  <w:vAlign w:val="center"/>
                </w:tcPr>
                <w:p>
                  <w:pPr>
                    <w:jc w:val="center"/>
                  </w:pPr>
                  <w:r>
                    <w:t>固体废物</w:t>
                  </w:r>
                </w:p>
              </w:tc>
              <w:tc>
                <w:tcPr>
                  <w:tcW w:w="1290" w:type="pct"/>
                  <w:vAlign w:val="center"/>
                </w:tcPr>
                <w:p>
                  <w:pPr>
                    <w:jc w:val="center"/>
                  </w:pPr>
                  <w:r>
                    <w:rPr>
                      <w:rFonts w:hint="eastAsia"/>
                    </w:rPr>
                    <w:t>生活垃圾、一般工业固体废物、危险废物</w:t>
                  </w:r>
                </w:p>
              </w:tc>
              <w:tc>
                <w:tcPr>
                  <w:tcW w:w="2212" w:type="pct"/>
                  <w:vAlign w:val="center"/>
                </w:tcPr>
                <w:p>
                  <w:pPr>
                    <w:pStyle w:val="48"/>
                    <w:jc w:val="both"/>
                    <w:rPr>
                      <w:sz w:val="21"/>
                      <w:szCs w:val="21"/>
                    </w:rPr>
                  </w:pPr>
                  <w:r>
                    <w:rPr>
                      <w:rFonts w:hint="eastAsia"/>
                      <w:sz w:val="21"/>
                      <w:szCs w:val="21"/>
                    </w:rPr>
                    <w:t>①生活垃圾：本项目职员生活垃圾集中收集，由市政部门统一处理。</w:t>
                  </w:r>
                </w:p>
                <w:p>
                  <w:pPr>
                    <w:pStyle w:val="48"/>
                    <w:jc w:val="both"/>
                    <w:rPr>
                      <w:sz w:val="21"/>
                      <w:szCs w:val="21"/>
                    </w:rPr>
                  </w:pPr>
                  <w:r>
                    <w:rPr>
                      <w:rFonts w:hint="eastAsia"/>
                      <w:sz w:val="21"/>
                      <w:szCs w:val="21"/>
                    </w:rPr>
                    <w:t>②矸石：在厂区矸石堆放库暂存，定期拉运外售给建筑材料生产单位回收进行综合利用。</w:t>
                  </w:r>
                </w:p>
                <w:p>
                  <w:pPr>
                    <w:pStyle w:val="48"/>
                    <w:jc w:val="both"/>
                    <w:rPr>
                      <w:sz w:val="21"/>
                      <w:szCs w:val="21"/>
                    </w:rPr>
                  </w:pPr>
                  <w:r>
                    <w:rPr>
                      <w:rFonts w:hint="eastAsia"/>
                      <w:sz w:val="21"/>
                      <w:szCs w:val="21"/>
                    </w:rPr>
                    <w:t>③废矿物油：本项目维修、养护设备产生的废矿物油桶装收集，暂存于危险废物贮存点，委托有资质单位处置。</w:t>
                  </w:r>
                </w:p>
                <w:p>
                  <w:pPr>
                    <w:pStyle w:val="48"/>
                    <w:jc w:val="both"/>
                    <w:rPr>
                      <w:sz w:val="21"/>
                      <w:szCs w:val="21"/>
                    </w:rPr>
                  </w:pPr>
                  <w:r>
                    <w:rPr>
                      <w:rFonts w:hint="eastAsia"/>
                      <w:sz w:val="21"/>
                      <w:szCs w:val="21"/>
                    </w:rPr>
                    <w:t>④废弃含油抹布、劳保用品：本项目维修、养护设备产生的废弃含油抹布及劳保用品，暂存于危险废物贮存点，委托有资质单位处置。</w:t>
                  </w:r>
                </w:p>
                <w:p>
                  <w:pPr>
                    <w:jc w:val="center"/>
                  </w:pPr>
                  <w:r>
                    <w:rPr>
                      <w:rFonts w:hint="eastAsia"/>
                      <w:szCs w:val="21"/>
                    </w:rPr>
                    <w:t>⑤沉淀池、雨水收集池沉渣：沉渣回收晾干，集中收集后外售综合利用。</w:t>
                  </w:r>
                </w:p>
              </w:tc>
              <w:tc>
                <w:tcPr>
                  <w:tcW w:w="421" w:type="pct"/>
                  <w:vAlign w:val="center"/>
                </w:tcPr>
                <w:p>
                  <w:pPr>
                    <w:jc w:val="center"/>
                  </w:pPr>
                  <w:r>
                    <w:rPr>
                      <w:rFonts w:hint="eastAsia"/>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7" w:type="pct"/>
                  <w:vMerge w:val="continue"/>
                  <w:vAlign w:val="center"/>
                </w:tcPr>
                <w:p>
                  <w:pPr>
                    <w:jc w:val="center"/>
                  </w:pPr>
                </w:p>
              </w:tc>
              <w:tc>
                <w:tcPr>
                  <w:tcW w:w="830" w:type="pct"/>
                  <w:vAlign w:val="center"/>
                </w:tcPr>
                <w:p>
                  <w:pPr>
                    <w:jc w:val="center"/>
                  </w:pPr>
                  <w:r>
                    <w:rPr>
                      <w:rFonts w:hint="eastAsia"/>
                    </w:rPr>
                    <w:t>防渗措施</w:t>
                  </w:r>
                </w:p>
              </w:tc>
              <w:tc>
                <w:tcPr>
                  <w:tcW w:w="3502" w:type="pct"/>
                  <w:gridSpan w:val="2"/>
                </w:tcPr>
                <w:p>
                  <w:r>
                    <w:rPr>
                      <w:rFonts w:hint="eastAsia"/>
                    </w:rPr>
                    <w:t>项目厂区采取“分区防渗”的原则，循环沉淀池、初期雨水收集池、煤泥暂存池、浓缩机和事故浓缩机所在位置车间地面为重点防渗区，原煤堆放库、中煤堆放库、矸石堆放库、车间地面为一般防渗区。综合用房为简单防渗区，进行一般地面硬化。</w:t>
                  </w:r>
                </w:p>
              </w:tc>
              <w:tc>
                <w:tcPr>
                  <w:tcW w:w="421" w:type="pct"/>
                  <w:vAlign w:val="center"/>
                </w:tcPr>
                <w:p>
                  <w:pPr>
                    <w:jc w:val="center"/>
                  </w:pPr>
                  <w:r>
                    <w:rPr>
                      <w:rFonts w:hint="eastAsia"/>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7" w:type="pct"/>
                  <w:vMerge w:val="continue"/>
                  <w:vAlign w:val="center"/>
                </w:tcPr>
                <w:p>
                  <w:pPr>
                    <w:jc w:val="center"/>
                  </w:pPr>
                </w:p>
              </w:tc>
              <w:tc>
                <w:tcPr>
                  <w:tcW w:w="830" w:type="pct"/>
                  <w:vAlign w:val="center"/>
                </w:tcPr>
                <w:p>
                  <w:pPr>
                    <w:jc w:val="center"/>
                  </w:pPr>
                  <w:r>
                    <w:rPr>
                      <w:rFonts w:hint="eastAsia"/>
                    </w:rPr>
                    <w:t>环境风险</w:t>
                  </w:r>
                </w:p>
              </w:tc>
              <w:tc>
                <w:tcPr>
                  <w:tcW w:w="3502" w:type="pct"/>
                  <w:gridSpan w:val="2"/>
                </w:tcPr>
                <w:p>
                  <w:pPr>
                    <w:jc w:val="center"/>
                  </w:pPr>
                  <w:r>
                    <w:rPr>
                      <w:rFonts w:hint="eastAsia"/>
                    </w:rPr>
                    <w:t>设置事故浓缩机</w:t>
                  </w:r>
                </w:p>
              </w:tc>
              <w:tc>
                <w:tcPr>
                  <w:tcW w:w="421" w:type="pct"/>
                  <w:vAlign w:val="center"/>
                </w:tcPr>
                <w:p>
                  <w:pPr>
                    <w:jc w:val="center"/>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7" w:type="pct"/>
                  <w:vMerge w:val="continue"/>
                  <w:vAlign w:val="center"/>
                </w:tcPr>
                <w:p>
                  <w:pPr>
                    <w:jc w:val="center"/>
                  </w:pPr>
                </w:p>
              </w:tc>
              <w:tc>
                <w:tcPr>
                  <w:tcW w:w="830" w:type="pct"/>
                  <w:vAlign w:val="center"/>
                </w:tcPr>
                <w:p>
                  <w:pPr>
                    <w:jc w:val="center"/>
                  </w:pPr>
                  <w:r>
                    <w:rPr>
                      <w:rFonts w:hint="eastAsia"/>
                    </w:rPr>
                    <w:t>地下水监控</w:t>
                  </w:r>
                </w:p>
              </w:tc>
              <w:tc>
                <w:tcPr>
                  <w:tcW w:w="3502" w:type="pct"/>
                  <w:gridSpan w:val="2"/>
                  <w:vAlign w:val="center"/>
                </w:tcPr>
                <w:p>
                  <w:pPr>
                    <w:jc w:val="center"/>
                  </w:pPr>
                  <w:r>
                    <w:rPr>
                      <w:rFonts w:hint="eastAsia"/>
                    </w:rPr>
                    <w:t>设置地下水监控井，并开展日常监测</w:t>
                  </w:r>
                </w:p>
              </w:tc>
              <w:tc>
                <w:tcPr>
                  <w:tcW w:w="421" w:type="pct"/>
                  <w:vAlign w:val="center"/>
                </w:tcPr>
                <w:p>
                  <w:pPr>
                    <w:jc w:val="center"/>
                  </w:pPr>
                  <w:r>
                    <w:rPr>
                      <w:rFonts w:hint="eastAsia"/>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1077" w:type="pct"/>
                  <w:gridSpan w:val="2"/>
                  <w:vAlign w:val="center"/>
                </w:tcPr>
                <w:p>
                  <w:pPr>
                    <w:jc w:val="center"/>
                  </w:pPr>
                  <w:r>
                    <w:rPr>
                      <w:rFonts w:hint="eastAsia"/>
                    </w:rPr>
                    <w:t>监测、运行维护费用</w:t>
                  </w:r>
                </w:p>
              </w:tc>
              <w:tc>
                <w:tcPr>
                  <w:tcW w:w="3502" w:type="pct"/>
                  <w:gridSpan w:val="2"/>
                  <w:vAlign w:val="center"/>
                </w:tcPr>
                <w:p>
                  <w:pPr>
                    <w:jc w:val="center"/>
                  </w:pPr>
                  <w:r>
                    <w:rPr>
                      <w:rFonts w:hint="eastAsia"/>
                    </w:rPr>
                    <w:t>环境保护措施和设施的运行管理、维护、自行监测、验收费用</w:t>
                  </w:r>
                </w:p>
              </w:tc>
              <w:tc>
                <w:tcPr>
                  <w:tcW w:w="421" w:type="pct"/>
                  <w:vAlign w:val="center"/>
                </w:tcPr>
                <w:p>
                  <w:pPr>
                    <w:jc w:val="center"/>
                  </w:pPr>
                  <w:r>
                    <w:rPr>
                      <w:rFonts w:hint="eastAsia"/>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579" w:type="pct"/>
                  <w:gridSpan w:val="4"/>
                </w:tcPr>
                <w:p>
                  <w:pPr>
                    <w:jc w:val="center"/>
                  </w:pPr>
                  <w:r>
                    <w:t>总计</w:t>
                  </w:r>
                </w:p>
              </w:tc>
              <w:tc>
                <w:tcPr>
                  <w:tcW w:w="421" w:type="pct"/>
                  <w:vAlign w:val="center"/>
                </w:tcPr>
                <w:p>
                  <w:pPr>
                    <w:jc w:val="center"/>
                  </w:pPr>
                  <w:r>
                    <w:rPr>
                      <w:rFonts w:hint="eastAsia"/>
                    </w:rPr>
                    <w:t>53.5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579" w:type="pct"/>
                  <w:gridSpan w:val="4"/>
                </w:tcPr>
                <w:p>
                  <w:pPr>
                    <w:jc w:val="center"/>
                  </w:pPr>
                  <w:r>
                    <w:t>项目总投资</w:t>
                  </w:r>
                </w:p>
              </w:tc>
              <w:tc>
                <w:tcPr>
                  <w:tcW w:w="421" w:type="pct"/>
                  <w:vAlign w:val="center"/>
                </w:tcPr>
                <w:p>
                  <w:pPr>
                    <w:jc w:val="center"/>
                  </w:pPr>
                  <w:r>
                    <w:rPr>
                      <w:rFonts w:hint="eastAsia"/>
                    </w:rPr>
                    <w:t>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579" w:type="pct"/>
                  <w:gridSpan w:val="4"/>
                  <w:vAlign w:val="center"/>
                </w:tcPr>
                <w:p>
                  <w:pPr>
                    <w:jc w:val="center"/>
                  </w:pPr>
                  <w:r>
                    <w:t>环保投资比</w:t>
                  </w:r>
                </w:p>
              </w:tc>
              <w:tc>
                <w:tcPr>
                  <w:tcW w:w="421" w:type="pct"/>
                  <w:vAlign w:val="center"/>
                </w:tcPr>
                <w:p>
                  <w:pPr>
                    <w:jc w:val="center"/>
                  </w:pPr>
                  <w:r>
                    <w:rPr>
                      <w:rFonts w:hint="eastAsia"/>
                    </w:rPr>
                    <w:t>4.5%</w:t>
                  </w:r>
                </w:p>
              </w:tc>
            </w:tr>
          </w:tbl>
          <w:p>
            <w:pPr>
              <w:pStyle w:val="52"/>
              <w:spacing w:line="500" w:lineRule="exact"/>
              <w:ind w:firstLine="482"/>
              <w:rPr>
                <w:rFonts w:cs="Times New Roman"/>
                <w:b/>
                <w:bCs/>
                <w:color w:val="auto"/>
                <w:sz w:val="24"/>
              </w:rPr>
            </w:pPr>
            <w:r>
              <w:rPr>
                <w:rFonts w:cs="Times New Roman"/>
                <w:b/>
                <w:bCs/>
                <w:color w:val="auto"/>
                <w:sz w:val="24"/>
              </w:rPr>
              <w:t>七、平面布置</w:t>
            </w:r>
          </w:p>
          <w:p>
            <w:pPr>
              <w:pStyle w:val="52"/>
              <w:spacing w:line="500" w:lineRule="exact"/>
              <w:ind w:firstLine="480"/>
              <w:rPr>
                <w:rFonts w:cs="Times New Roman"/>
                <w:color w:val="auto"/>
                <w:sz w:val="24"/>
              </w:rPr>
            </w:pPr>
            <w:r>
              <w:rPr>
                <w:rFonts w:hint="eastAsia" w:cs="Times New Roman"/>
                <w:color w:val="auto"/>
                <w:sz w:val="24"/>
              </w:rPr>
              <w:t>本项目建设地点位于黑龙江省鹤岗市兴安区红旗镇峻丰村，租赁峻丰村原旭翔煤矿现有厂房进行生产。</w:t>
            </w:r>
          </w:p>
          <w:p>
            <w:pPr>
              <w:pStyle w:val="52"/>
              <w:spacing w:line="500" w:lineRule="exact"/>
              <w:ind w:firstLine="480"/>
              <w:rPr>
                <w:rFonts w:cs="Times New Roman"/>
                <w:color w:val="auto"/>
                <w:sz w:val="24"/>
              </w:rPr>
            </w:pPr>
            <w:r>
              <w:rPr>
                <w:rFonts w:hint="eastAsia" w:cs="Times New Roman"/>
                <w:color w:val="auto"/>
                <w:sz w:val="24"/>
              </w:rPr>
              <w:t>本项目生产车间位于厂区中部，原煤堆放库位于生产车间西侧，中煤堆放库位于生产车间东侧，矸石堆放库位于厂区东侧、精煤堆放库分别位于厂区南侧，根据厂区自然条件，厂区内总体布局紧凑，整体环境和谐，厂区总体布局合理。总平面布置见附图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23" w:type="dxa"/>
            <w:vAlign w:val="center"/>
          </w:tcPr>
          <w:p>
            <w:pPr>
              <w:jc w:val="center"/>
              <w:rPr>
                <w:b/>
                <w:bCs/>
                <w:sz w:val="24"/>
              </w:rPr>
            </w:pPr>
            <w:r>
              <w:rPr>
                <w:sz w:val="24"/>
              </w:rPr>
              <w:t>工艺流程和产排污环节</w:t>
            </w:r>
          </w:p>
        </w:tc>
        <w:tc>
          <w:tcPr>
            <w:tcW w:w="7901" w:type="dxa"/>
            <w:vAlign w:val="center"/>
          </w:tcPr>
          <w:p>
            <w:pPr>
              <w:pStyle w:val="52"/>
              <w:spacing w:line="500" w:lineRule="exact"/>
              <w:ind w:firstLine="482"/>
              <w:rPr>
                <w:rFonts w:cs="Times New Roman"/>
                <w:b/>
                <w:bCs/>
                <w:color w:val="auto"/>
                <w:sz w:val="24"/>
              </w:rPr>
            </w:pPr>
            <w:r>
              <w:rPr>
                <w:rFonts w:hint="eastAsia" w:cs="Times New Roman"/>
                <w:b/>
                <w:bCs/>
                <w:color w:val="auto"/>
                <w:sz w:val="24"/>
              </w:rPr>
              <w:t>一、施工期工艺流程及产排污环节</w:t>
            </w:r>
          </w:p>
          <w:p>
            <w:pPr>
              <w:pStyle w:val="52"/>
              <w:spacing w:line="500" w:lineRule="exact"/>
              <w:ind w:firstLine="480"/>
              <w:rPr>
                <w:rFonts w:cs="Times New Roman"/>
                <w:color w:val="auto"/>
                <w:sz w:val="24"/>
              </w:rPr>
            </w:pPr>
            <w:r>
              <w:rPr>
                <w:rFonts w:hint="eastAsia" w:cs="Times New Roman"/>
                <w:color w:val="auto"/>
                <w:sz w:val="24"/>
              </w:rPr>
              <w:t>本项目主体建筑工程已建成，施工时主要为相关生产设备的安装，初期雨水收集池的建设，厂区内防渗措施的建设和其他环保设施的安装。</w:t>
            </w:r>
          </w:p>
          <w:p>
            <w:pPr>
              <w:pStyle w:val="52"/>
              <w:spacing w:line="500" w:lineRule="exact"/>
              <w:ind w:firstLine="480"/>
              <w:rPr>
                <w:rFonts w:cs="Times New Roman"/>
                <w:color w:val="auto"/>
                <w:sz w:val="24"/>
              </w:rPr>
            </w:pPr>
            <w:r>
              <w:rPr>
                <w:rFonts w:hint="eastAsia" w:cs="Times New Roman"/>
                <w:color w:val="auto"/>
                <w:sz w:val="24"/>
              </w:rPr>
              <w:t>（1）场地平整</w:t>
            </w:r>
          </w:p>
          <w:p>
            <w:pPr>
              <w:pStyle w:val="52"/>
              <w:spacing w:line="500" w:lineRule="exact"/>
              <w:ind w:firstLine="480"/>
              <w:rPr>
                <w:rFonts w:cs="Times New Roman"/>
                <w:color w:val="auto"/>
                <w:sz w:val="24"/>
              </w:rPr>
            </w:pPr>
            <w:r>
              <w:rPr>
                <w:rFonts w:hint="eastAsia" w:cs="Times New Roman"/>
                <w:color w:val="auto"/>
                <w:sz w:val="24"/>
              </w:rPr>
              <w:t>场地清理主要包括清除地面的植物和其他障碍物，施工过程中会产生扬尘、噪声。</w:t>
            </w:r>
          </w:p>
          <w:p>
            <w:pPr>
              <w:pStyle w:val="52"/>
              <w:spacing w:line="500" w:lineRule="exact"/>
              <w:ind w:firstLine="480"/>
              <w:rPr>
                <w:rFonts w:cs="Times New Roman"/>
                <w:color w:val="auto"/>
                <w:sz w:val="24"/>
              </w:rPr>
            </w:pPr>
            <w:r>
              <w:rPr>
                <w:rFonts w:hint="eastAsia" w:cs="Times New Roman"/>
                <w:color w:val="auto"/>
                <w:sz w:val="24"/>
              </w:rPr>
              <w:t>（2）防渗池施工</w:t>
            </w:r>
          </w:p>
          <w:p>
            <w:pPr>
              <w:pStyle w:val="52"/>
              <w:spacing w:line="500" w:lineRule="exact"/>
              <w:ind w:firstLine="480"/>
              <w:rPr>
                <w:rFonts w:cs="Times New Roman"/>
                <w:color w:val="auto"/>
                <w:sz w:val="24"/>
              </w:rPr>
            </w:pPr>
            <w:r>
              <w:rPr>
                <w:rFonts w:hint="eastAsia" w:cs="Times New Roman"/>
                <w:color w:val="auto"/>
                <w:sz w:val="24"/>
              </w:rPr>
              <w:t>施工过程采用人工施工为主，配有少量的机械施工相结合的方式。噪声影响较小，施工方式合理。项目施工过程中会产生扬尘、噪声和边角材料。</w:t>
            </w:r>
          </w:p>
          <w:p>
            <w:pPr>
              <w:pStyle w:val="52"/>
              <w:spacing w:line="500" w:lineRule="exact"/>
              <w:ind w:firstLine="480"/>
              <w:rPr>
                <w:rFonts w:cs="Times New Roman"/>
                <w:color w:val="auto"/>
                <w:sz w:val="24"/>
              </w:rPr>
            </w:pPr>
            <w:r>
              <w:rPr>
                <w:rFonts w:hint="eastAsia" w:cs="Times New Roman"/>
                <w:color w:val="auto"/>
                <w:sz w:val="24"/>
              </w:rPr>
              <w:t>（3）设备安装</w:t>
            </w:r>
          </w:p>
          <w:p>
            <w:pPr>
              <w:pStyle w:val="52"/>
              <w:spacing w:line="500" w:lineRule="exact"/>
              <w:ind w:firstLine="480"/>
              <w:rPr>
                <w:rFonts w:cs="Times New Roman"/>
                <w:color w:val="auto"/>
                <w:sz w:val="24"/>
              </w:rPr>
            </w:pPr>
            <w:r>
              <w:rPr>
                <w:rFonts w:hint="eastAsia" w:cs="Times New Roman"/>
                <w:color w:val="auto"/>
                <w:sz w:val="24"/>
              </w:rPr>
              <w:t>施工完毕后，进行设备安装，此过程会产生噪声及粉尘，完毕后随即消失。</w:t>
            </w:r>
          </w:p>
          <w:p>
            <w:pPr>
              <w:pStyle w:val="52"/>
              <w:spacing w:line="500" w:lineRule="exact"/>
              <w:ind w:firstLine="420"/>
              <w:rPr>
                <w:rFonts w:cs="Times New Roman"/>
                <w:color w:val="auto"/>
                <w:sz w:val="24"/>
              </w:rPr>
            </w:pPr>
            <w:r>
              <w:rPr>
                <w:color w:val="auto"/>
              </w:rPr>
              <w:drawing>
                <wp:anchor distT="0" distB="0" distL="114300" distR="114300" simplePos="0" relativeHeight="251659264" behindDoc="0" locked="0" layoutInCell="1" allowOverlap="1">
                  <wp:simplePos x="0" y="0"/>
                  <wp:positionH relativeFrom="column">
                    <wp:posOffset>62865</wp:posOffset>
                  </wp:positionH>
                  <wp:positionV relativeFrom="paragraph">
                    <wp:posOffset>441960</wp:posOffset>
                  </wp:positionV>
                  <wp:extent cx="4805680" cy="1538605"/>
                  <wp:effectExtent l="0" t="0" r="0" b="4445"/>
                  <wp:wrapTopAndBottom/>
                  <wp:docPr id="1145899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9933" name="图片 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4805680" cy="1538605"/>
                          </a:xfrm>
                          <a:prstGeom prst="rect">
                            <a:avLst/>
                          </a:prstGeom>
                        </pic:spPr>
                      </pic:pic>
                    </a:graphicData>
                  </a:graphic>
                </wp:anchor>
              </w:drawing>
            </w:r>
            <w:r>
              <w:rPr>
                <w:rFonts w:hint="eastAsia" w:cs="Times New Roman"/>
                <w:color w:val="auto"/>
                <w:sz w:val="24"/>
              </w:rPr>
              <w:t>本项目施工期工艺流程及产排污节点见下图。</w:t>
            </w:r>
          </w:p>
          <w:p>
            <w:pPr>
              <w:pStyle w:val="46"/>
              <w:spacing w:line="400" w:lineRule="atLeast"/>
              <w:rPr>
                <w:rFonts w:eastAsia="宋体" w:cs="Times New Roman"/>
                <w:bCs/>
                <w:szCs w:val="24"/>
              </w:rPr>
            </w:pPr>
            <w:r>
              <w:rPr>
                <w:rFonts w:hint="eastAsia" w:eastAsia="宋体" w:cs="Times New Roman"/>
                <w:bCs/>
                <w:szCs w:val="24"/>
              </w:rPr>
              <w:t>图</w:t>
            </w:r>
            <w:r>
              <w:rPr>
                <w:rFonts w:eastAsia="宋体" w:cs="Times New Roman"/>
                <w:bCs/>
                <w:szCs w:val="24"/>
              </w:rPr>
              <w:t>2-2</w:t>
            </w:r>
            <w:r>
              <w:rPr>
                <w:rFonts w:hint="eastAsia" w:eastAsia="宋体" w:cs="Times New Roman"/>
                <w:bCs/>
                <w:szCs w:val="24"/>
              </w:rPr>
              <w:t xml:space="preserve"> 施工期工艺流程及产污节点图</w:t>
            </w:r>
          </w:p>
          <w:p>
            <w:pPr>
              <w:pStyle w:val="52"/>
              <w:spacing w:line="500" w:lineRule="exact"/>
              <w:ind w:firstLine="482"/>
              <w:rPr>
                <w:rFonts w:cs="Times New Roman"/>
                <w:b/>
                <w:bCs/>
                <w:color w:val="auto"/>
                <w:sz w:val="24"/>
              </w:rPr>
            </w:pPr>
            <w:r>
              <w:rPr>
                <w:rFonts w:hint="eastAsia" w:cs="Times New Roman"/>
                <w:b/>
                <w:bCs/>
                <w:color w:val="auto"/>
                <w:sz w:val="24"/>
              </w:rPr>
              <w:t>二、运营期工艺流程及产排污环节</w:t>
            </w:r>
          </w:p>
          <w:p>
            <w:pPr>
              <w:pStyle w:val="52"/>
              <w:spacing w:line="500" w:lineRule="exact"/>
              <w:ind w:firstLine="480"/>
              <w:rPr>
                <w:rFonts w:cs="Times New Roman"/>
                <w:color w:val="auto"/>
                <w:sz w:val="24"/>
              </w:rPr>
            </w:pPr>
            <w:r>
              <w:rPr>
                <w:rFonts w:hint="eastAsia" w:cs="Times New Roman"/>
                <w:color w:val="auto"/>
                <w:sz w:val="24"/>
              </w:rPr>
              <w:t>本项目外购的原煤经人工摘选出粒径大于200mm的颗粒后进厂，粒径范围小于200mm的原煤作为本项目原料进入生产工序，因此本项目所用的原煤粒径小于200mm，能够</w:t>
            </w:r>
            <w:r>
              <w:rPr>
                <w:rFonts w:cs="Times New Roman"/>
                <w:color w:val="auto"/>
                <w:sz w:val="24"/>
              </w:rPr>
              <w:t>符合</w:t>
            </w:r>
            <w:r>
              <w:rPr>
                <w:rFonts w:hint="eastAsia" w:cs="Times New Roman"/>
                <w:color w:val="auto"/>
                <w:sz w:val="24"/>
              </w:rPr>
              <w:t>本项目</w:t>
            </w:r>
            <w:r>
              <w:rPr>
                <w:rFonts w:cs="Times New Roman"/>
                <w:color w:val="auto"/>
                <w:sz w:val="24"/>
              </w:rPr>
              <w:t>洗选设备的处理范围，</w:t>
            </w:r>
            <w:r>
              <w:rPr>
                <w:rFonts w:hint="eastAsia" w:cs="Times New Roman"/>
                <w:color w:val="auto"/>
                <w:sz w:val="24"/>
              </w:rPr>
              <w:t>原煤</w:t>
            </w:r>
            <w:r>
              <w:rPr>
                <w:rFonts w:cs="Times New Roman"/>
                <w:color w:val="auto"/>
                <w:sz w:val="24"/>
              </w:rPr>
              <w:t>无需</w:t>
            </w:r>
            <w:r>
              <w:rPr>
                <w:rFonts w:hint="eastAsia" w:cs="Times New Roman"/>
                <w:color w:val="auto"/>
                <w:sz w:val="24"/>
              </w:rPr>
              <w:t>进一步</w:t>
            </w:r>
            <w:r>
              <w:rPr>
                <w:rFonts w:cs="Times New Roman"/>
                <w:color w:val="auto"/>
                <w:sz w:val="24"/>
              </w:rPr>
              <w:t>破碎</w:t>
            </w:r>
            <w:r>
              <w:rPr>
                <w:rFonts w:hint="eastAsia" w:cs="Times New Roman"/>
                <w:color w:val="auto"/>
                <w:sz w:val="24"/>
              </w:rPr>
              <w:t>、筛分</w:t>
            </w:r>
            <w:r>
              <w:rPr>
                <w:rFonts w:cs="Times New Roman"/>
                <w:color w:val="auto"/>
                <w:sz w:val="24"/>
              </w:rPr>
              <w:t>即可满足</w:t>
            </w:r>
            <w:r>
              <w:rPr>
                <w:rFonts w:hint="eastAsia" w:cs="Times New Roman"/>
                <w:color w:val="auto"/>
                <w:sz w:val="24"/>
              </w:rPr>
              <w:t>本项目洗</w:t>
            </w:r>
            <w:r>
              <w:rPr>
                <w:rFonts w:cs="Times New Roman"/>
                <w:color w:val="auto"/>
                <w:sz w:val="24"/>
              </w:rPr>
              <w:t>选</w:t>
            </w:r>
            <w:r>
              <w:rPr>
                <w:rFonts w:hint="eastAsia" w:cs="Times New Roman"/>
                <w:color w:val="auto"/>
                <w:sz w:val="24"/>
              </w:rPr>
              <w:t>工艺</w:t>
            </w:r>
            <w:r>
              <w:rPr>
                <w:rFonts w:cs="Times New Roman"/>
                <w:color w:val="auto"/>
                <w:sz w:val="24"/>
              </w:rPr>
              <w:t>要求，</w:t>
            </w:r>
            <w:r>
              <w:rPr>
                <w:rFonts w:hint="eastAsia" w:cs="Times New Roman"/>
                <w:color w:val="auto"/>
                <w:sz w:val="24"/>
              </w:rPr>
              <w:t>因此项目不涉及原煤的破碎、筛分工艺。</w:t>
            </w:r>
          </w:p>
          <w:p>
            <w:pPr>
              <w:pStyle w:val="52"/>
              <w:spacing w:line="500" w:lineRule="exact"/>
              <w:ind w:firstLine="480"/>
              <w:rPr>
                <w:rFonts w:cs="Times New Roman"/>
                <w:color w:val="auto"/>
                <w:sz w:val="24"/>
              </w:rPr>
            </w:pPr>
            <w:r>
              <w:rPr>
                <w:rFonts w:hint="eastAsia" w:cs="Times New Roman"/>
                <w:color w:val="auto"/>
                <w:sz w:val="24"/>
              </w:rPr>
              <w:t>本项目所用洗煤工艺为跳汰洗煤，原料原煤经原煤堆放库地面进入受煤漏斗（漏斗全密闭，原煤堆放库地面采取防渗措施），仓下给煤机给料。输送机送至跳汰洗煤机，转载点设置喷淋设施，分选出矸石、中煤、精煤等，本项目洗煤过程中不涉及使用浮选剂。</w:t>
            </w:r>
          </w:p>
          <w:p>
            <w:pPr>
              <w:pStyle w:val="52"/>
              <w:spacing w:line="500" w:lineRule="exact"/>
              <w:ind w:firstLine="480"/>
              <w:rPr>
                <w:rFonts w:cs="Times New Roman"/>
                <w:color w:val="auto"/>
                <w:sz w:val="24"/>
              </w:rPr>
            </w:pPr>
            <w:r>
              <w:rPr>
                <w:rFonts w:hint="eastAsia" w:cs="Times New Roman"/>
                <w:color w:val="auto"/>
                <w:sz w:val="24"/>
              </w:rPr>
              <w:t>其中分选出的矸石输送进入滚筒洗石机洗选，洗选后的矸石输送进入脱水机脱水，脱水后的矸石由运输车辆拉运外售综合利用。</w:t>
            </w:r>
          </w:p>
          <w:p>
            <w:pPr>
              <w:pStyle w:val="52"/>
              <w:spacing w:line="500" w:lineRule="exact"/>
              <w:ind w:firstLine="480"/>
              <w:rPr>
                <w:rFonts w:cs="Times New Roman"/>
                <w:color w:val="auto"/>
                <w:sz w:val="24"/>
              </w:rPr>
            </w:pPr>
            <w:r>
              <w:rPr>
                <w:rFonts w:hint="eastAsia" w:cs="Times New Roman"/>
                <w:color w:val="auto"/>
                <w:sz w:val="24"/>
              </w:rPr>
              <w:t>中煤经斗式经过脱水机脱水后直接拉走外售综合利用，少量在厂区内暂存后进行外售。</w:t>
            </w:r>
          </w:p>
          <w:p>
            <w:pPr>
              <w:pStyle w:val="52"/>
              <w:spacing w:line="500" w:lineRule="exact"/>
              <w:ind w:firstLine="480"/>
              <w:rPr>
                <w:rFonts w:cs="Times New Roman"/>
                <w:color w:val="auto"/>
                <w:sz w:val="24"/>
              </w:rPr>
            </w:pPr>
            <w:r>
              <w:rPr>
                <w:rFonts w:hint="eastAsia" w:cs="Times New Roman"/>
                <w:color w:val="auto"/>
                <w:sz w:val="24"/>
              </w:rPr>
              <w:t>精煤经溢流进入脱水机脱水，脱水后成为最终产品，输送至场地储运外销。</w:t>
            </w:r>
          </w:p>
          <w:p>
            <w:pPr>
              <w:pStyle w:val="52"/>
              <w:spacing w:line="500" w:lineRule="exact"/>
              <w:ind w:firstLine="480"/>
              <w:rPr>
                <w:rFonts w:cs="Times New Roman"/>
                <w:color w:val="auto"/>
                <w:sz w:val="24"/>
              </w:rPr>
            </w:pPr>
            <w:r>
              <w:rPr>
                <w:rFonts w:hint="eastAsia" w:cs="Times New Roman"/>
                <w:color w:val="auto"/>
                <w:sz w:val="24"/>
              </w:rPr>
              <w:t>煤泥水处理：主洗煤水经直线脱水筛脱水，筛下水经自然高差进入煤泥高频回收筛进行粗煤泥回收，回收的粗煤泥外销外运。</w:t>
            </w:r>
          </w:p>
          <w:p>
            <w:pPr>
              <w:pStyle w:val="52"/>
              <w:spacing w:line="500" w:lineRule="exact"/>
              <w:ind w:firstLine="480"/>
              <w:rPr>
                <w:rFonts w:cs="Times New Roman"/>
                <w:color w:val="auto"/>
                <w:sz w:val="24"/>
              </w:rPr>
            </w:pPr>
            <w:r>
              <w:rPr>
                <w:rFonts w:hint="eastAsia" w:cs="Times New Roman"/>
                <w:color w:val="auto"/>
                <w:sz w:val="24"/>
              </w:rPr>
              <w:t>煤泥筛下水经浓缩入料泵打循环沉淀池浓缩机，浓缩机中加入絮凝剂聚丙烯酰胺（PAM），可以吸附水中的悬浮颗粒，在颗粒之间起链接架桥作用，使细颗粒形成比较大的絮团，并且加快了沉淀的速度，浓缩底流经压滤泵打入于煤泥压滤机，经压滤脱水后，进入煤泥暂存池定期外售。</w:t>
            </w:r>
          </w:p>
          <w:p>
            <w:pPr>
              <w:pStyle w:val="52"/>
              <w:spacing w:line="500" w:lineRule="exact"/>
              <w:ind w:firstLine="420"/>
              <w:rPr>
                <w:rFonts w:cs="Times New Roman"/>
                <w:color w:val="auto"/>
                <w:sz w:val="24"/>
              </w:rPr>
            </w:pPr>
            <w:r>
              <w:drawing>
                <wp:anchor distT="0" distB="0" distL="114300" distR="114300" simplePos="0" relativeHeight="251692032" behindDoc="0" locked="0" layoutInCell="1" allowOverlap="1">
                  <wp:simplePos x="0" y="0"/>
                  <wp:positionH relativeFrom="column">
                    <wp:posOffset>-113030</wp:posOffset>
                  </wp:positionH>
                  <wp:positionV relativeFrom="paragraph">
                    <wp:posOffset>443230</wp:posOffset>
                  </wp:positionV>
                  <wp:extent cx="4879975" cy="6139180"/>
                  <wp:effectExtent l="0" t="0" r="0" b="0"/>
                  <wp:wrapTopAndBottom/>
                  <wp:docPr id="21421820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182053" name="图片 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879975" cy="6139180"/>
                          </a:xfrm>
                          <a:prstGeom prst="rect">
                            <a:avLst/>
                          </a:prstGeom>
                        </pic:spPr>
                      </pic:pic>
                    </a:graphicData>
                  </a:graphic>
                </wp:anchor>
              </w:drawing>
            </w:r>
            <w:r>
              <w:rPr>
                <w:rFonts w:hint="eastAsia" w:cs="Times New Roman"/>
                <w:color w:val="auto"/>
                <w:sz w:val="24"/>
              </w:rPr>
              <w:t>压滤机滤液进入防渗循环沉淀池重复利用，达到洗水闭路循环。</w:t>
            </w:r>
          </w:p>
          <w:p>
            <w:pPr>
              <w:pStyle w:val="46"/>
              <w:spacing w:line="400" w:lineRule="atLeast"/>
              <w:rPr>
                <w:rFonts w:eastAsia="宋体" w:cs="Times New Roman"/>
                <w:bCs/>
                <w:szCs w:val="24"/>
              </w:rPr>
            </w:pPr>
            <w:r>
              <w:rPr>
                <w:rFonts w:hint="eastAsia" w:eastAsia="宋体" w:cs="Times New Roman"/>
                <w:bCs/>
                <w:szCs w:val="24"/>
              </w:rPr>
              <w:t>图</w:t>
            </w:r>
            <w:r>
              <w:rPr>
                <w:rFonts w:eastAsia="宋体" w:cs="Times New Roman"/>
                <w:bCs/>
                <w:szCs w:val="24"/>
              </w:rPr>
              <w:t>2-3</w:t>
            </w:r>
            <w:r>
              <w:rPr>
                <w:rFonts w:hint="eastAsia" w:eastAsia="宋体" w:cs="Times New Roman"/>
                <w:bCs/>
                <w:szCs w:val="24"/>
              </w:rPr>
              <w:t xml:space="preserve"> 项目生产工艺流程及产污节点图</w:t>
            </w:r>
          </w:p>
          <w:p>
            <w:pPr>
              <w:pStyle w:val="52"/>
              <w:spacing w:line="500" w:lineRule="exact"/>
              <w:ind w:firstLine="482"/>
              <w:rPr>
                <w:rFonts w:cs="Times New Roman"/>
                <w:b/>
                <w:bCs/>
                <w:color w:val="auto"/>
                <w:sz w:val="24"/>
              </w:rPr>
            </w:pPr>
            <w:r>
              <w:rPr>
                <w:rFonts w:hint="eastAsia" w:cs="Times New Roman"/>
                <w:b/>
                <w:bCs/>
                <w:color w:val="auto"/>
                <w:sz w:val="24"/>
              </w:rPr>
              <w:t>三、主要污染工序</w:t>
            </w:r>
          </w:p>
          <w:p>
            <w:pPr>
              <w:pStyle w:val="52"/>
              <w:spacing w:line="500" w:lineRule="exact"/>
              <w:ind w:firstLine="480"/>
              <w:rPr>
                <w:rFonts w:cs="Times New Roman"/>
                <w:color w:val="auto"/>
                <w:sz w:val="24"/>
              </w:rPr>
            </w:pPr>
            <w:r>
              <w:rPr>
                <w:rFonts w:hint="eastAsia" w:cs="Times New Roman"/>
                <w:color w:val="auto"/>
                <w:sz w:val="24"/>
              </w:rPr>
              <w:t>根据本项目工艺流程分析，本项目运营期主要产污环节见下表。</w:t>
            </w:r>
          </w:p>
          <w:p>
            <w:pPr>
              <w:pStyle w:val="46"/>
              <w:adjustRightInd/>
              <w:snapToGrid/>
              <w:rPr>
                <w:rFonts w:eastAsia="宋体" w:cs="Times New Roman"/>
                <w:bCs/>
                <w:szCs w:val="24"/>
              </w:rPr>
            </w:pPr>
            <w:r>
              <w:rPr>
                <w:rFonts w:eastAsia="宋体" w:cs="Times New Roman"/>
                <w:bCs/>
                <w:szCs w:val="24"/>
              </w:rPr>
              <w:t>表2-</w:t>
            </w:r>
            <w:r>
              <w:rPr>
                <w:rFonts w:hint="eastAsia" w:eastAsia="宋体" w:cs="Times New Roman"/>
                <w:bCs/>
                <w:szCs w:val="24"/>
              </w:rPr>
              <w:t>8 本</w:t>
            </w:r>
            <w:r>
              <w:rPr>
                <w:rFonts w:eastAsia="宋体" w:cs="Times New Roman"/>
                <w:bCs/>
                <w:szCs w:val="24"/>
              </w:rPr>
              <w:t>项目产污环节汇总表</w:t>
            </w:r>
          </w:p>
          <w:tbl>
            <w:tblPr>
              <w:tblStyle w:val="20"/>
              <w:tblpPr w:leftFromText="180" w:rightFromText="180" w:vertAnchor="text" w:horzAnchor="margin" w:tblpY="36"/>
              <w:tblOverlap w:val="never"/>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2"/>
              <w:gridCol w:w="1315"/>
              <w:gridCol w:w="1984"/>
              <w:gridCol w:w="35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9" w:hRule="atLeast"/>
              </w:trPr>
              <w:tc>
                <w:tcPr>
                  <w:tcW w:w="812" w:type="dxa"/>
                  <w:vAlign w:val="center"/>
                </w:tcPr>
                <w:p>
                  <w:pPr>
                    <w:adjustRightInd w:val="0"/>
                    <w:snapToGrid w:val="0"/>
                    <w:jc w:val="center"/>
                    <w:rPr>
                      <w:szCs w:val="21"/>
                    </w:rPr>
                  </w:pPr>
                  <w:r>
                    <w:rPr>
                      <w:szCs w:val="21"/>
                    </w:rPr>
                    <w:t>序号</w:t>
                  </w:r>
                </w:p>
              </w:tc>
              <w:tc>
                <w:tcPr>
                  <w:tcW w:w="1315" w:type="dxa"/>
                  <w:vAlign w:val="center"/>
                </w:tcPr>
                <w:p>
                  <w:pPr>
                    <w:adjustRightInd w:val="0"/>
                    <w:snapToGrid w:val="0"/>
                    <w:jc w:val="center"/>
                    <w:rPr>
                      <w:szCs w:val="21"/>
                    </w:rPr>
                  </w:pPr>
                  <w:r>
                    <w:rPr>
                      <w:szCs w:val="21"/>
                    </w:rPr>
                    <w:t>污染物类型</w:t>
                  </w:r>
                </w:p>
              </w:tc>
              <w:tc>
                <w:tcPr>
                  <w:tcW w:w="1984" w:type="dxa"/>
                  <w:vAlign w:val="center"/>
                </w:tcPr>
                <w:p>
                  <w:pPr>
                    <w:adjustRightInd w:val="0"/>
                    <w:snapToGrid w:val="0"/>
                    <w:jc w:val="center"/>
                    <w:rPr>
                      <w:szCs w:val="21"/>
                    </w:rPr>
                  </w:pPr>
                  <w:r>
                    <w:rPr>
                      <w:szCs w:val="21"/>
                    </w:rPr>
                    <w:t>产污环节</w:t>
                  </w:r>
                </w:p>
              </w:tc>
              <w:tc>
                <w:tcPr>
                  <w:tcW w:w="3574" w:type="dxa"/>
                  <w:vAlign w:val="center"/>
                </w:tcPr>
                <w:p>
                  <w:pPr>
                    <w:adjustRightInd w:val="0"/>
                    <w:snapToGrid w:val="0"/>
                    <w:jc w:val="center"/>
                    <w:rPr>
                      <w:szCs w:val="21"/>
                    </w:rPr>
                  </w:pPr>
                  <w:r>
                    <w:rPr>
                      <w:rFonts w:hint="eastAsia"/>
                      <w:szCs w:val="21"/>
                    </w:rPr>
                    <w:t>主要污染物因子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51" w:hRule="atLeast"/>
              </w:trPr>
              <w:tc>
                <w:tcPr>
                  <w:tcW w:w="812" w:type="dxa"/>
                  <w:vMerge w:val="restart"/>
                  <w:vAlign w:val="center"/>
                </w:tcPr>
                <w:p>
                  <w:pPr>
                    <w:adjustRightInd w:val="0"/>
                    <w:snapToGrid w:val="0"/>
                    <w:jc w:val="center"/>
                    <w:rPr>
                      <w:szCs w:val="21"/>
                    </w:rPr>
                  </w:pPr>
                  <w:r>
                    <w:rPr>
                      <w:szCs w:val="21"/>
                    </w:rPr>
                    <w:t>1</w:t>
                  </w:r>
                </w:p>
              </w:tc>
              <w:tc>
                <w:tcPr>
                  <w:tcW w:w="1315" w:type="dxa"/>
                  <w:vMerge w:val="restart"/>
                  <w:vAlign w:val="center"/>
                </w:tcPr>
                <w:p>
                  <w:pPr>
                    <w:adjustRightInd w:val="0"/>
                    <w:snapToGrid w:val="0"/>
                    <w:jc w:val="center"/>
                    <w:rPr>
                      <w:szCs w:val="21"/>
                    </w:rPr>
                  </w:pPr>
                  <w:r>
                    <w:rPr>
                      <w:szCs w:val="21"/>
                    </w:rPr>
                    <w:t>废气</w:t>
                  </w:r>
                </w:p>
              </w:tc>
              <w:tc>
                <w:tcPr>
                  <w:tcW w:w="1984" w:type="dxa"/>
                  <w:vAlign w:val="center"/>
                </w:tcPr>
                <w:p>
                  <w:pPr>
                    <w:adjustRightInd w:val="0"/>
                    <w:snapToGrid w:val="0"/>
                    <w:jc w:val="center"/>
                    <w:rPr>
                      <w:szCs w:val="21"/>
                    </w:rPr>
                  </w:pPr>
                  <w:r>
                    <w:rPr>
                      <w:rFonts w:hint="eastAsia"/>
                      <w:szCs w:val="21"/>
                    </w:rPr>
                    <w:t>物料堆放、装卸</w:t>
                  </w:r>
                </w:p>
              </w:tc>
              <w:tc>
                <w:tcPr>
                  <w:tcW w:w="3574" w:type="dxa"/>
                  <w:vAlign w:val="center"/>
                </w:tcPr>
                <w:p>
                  <w:pPr>
                    <w:adjustRightInd w:val="0"/>
                    <w:snapToGrid w:val="0"/>
                    <w:jc w:val="center"/>
                    <w:rPr>
                      <w:szCs w:val="21"/>
                    </w:rPr>
                  </w:pPr>
                  <w:r>
                    <w:rPr>
                      <w:rFonts w:hint="eastAsia"/>
                      <w:szCs w:val="21"/>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9" w:hRule="atLeast"/>
              </w:trPr>
              <w:tc>
                <w:tcPr>
                  <w:tcW w:w="812" w:type="dxa"/>
                  <w:vMerge w:val="continue"/>
                  <w:vAlign w:val="center"/>
                </w:tcPr>
                <w:p>
                  <w:pPr>
                    <w:adjustRightInd w:val="0"/>
                    <w:snapToGrid w:val="0"/>
                    <w:jc w:val="center"/>
                    <w:rPr>
                      <w:szCs w:val="21"/>
                    </w:rPr>
                  </w:pPr>
                </w:p>
              </w:tc>
              <w:tc>
                <w:tcPr>
                  <w:tcW w:w="1315" w:type="dxa"/>
                  <w:vMerge w:val="continue"/>
                  <w:vAlign w:val="center"/>
                </w:tcPr>
                <w:p>
                  <w:pPr>
                    <w:adjustRightInd w:val="0"/>
                    <w:snapToGrid w:val="0"/>
                    <w:jc w:val="center"/>
                    <w:rPr>
                      <w:szCs w:val="21"/>
                    </w:rPr>
                  </w:pPr>
                </w:p>
              </w:tc>
              <w:tc>
                <w:tcPr>
                  <w:tcW w:w="1984" w:type="dxa"/>
                  <w:vAlign w:val="center"/>
                </w:tcPr>
                <w:p>
                  <w:pPr>
                    <w:adjustRightInd w:val="0"/>
                    <w:snapToGrid w:val="0"/>
                    <w:jc w:val="center"/>
                    <w:rPr>
                      <w:szCs w:val="21"/>
                    </w:rPr>
                  </w:pPr>
                  <w:r>
                    <w:rPr>
                      <w:rFonts w:hint="eastAsia"/>
                      <w:szCs w:val="21"/>
                    </w:rPr>
                    <w:t>车辆运输</w:t>
                  </w:r>
                </w:p>
              </w:tc>
              <w:tc>
                <w:tcPr>
                  <w:tcW w:w="3574" w:type="dxa"/>
                  <w:vAlign w:val="center"/>
                </w:tcPr>
                <w:p>
                  <w:pPr>
                    <w:adjustRightInd w:val="0"/>
                    <w:snapToGrid w:val="0"/>
                    <w:jc w:val="center"/>
                    <w:rPr>
                      <w:szCs w:val="21"/>
                    </w:rPr>
                  </w:pPr>
                  <w:r>
                    <w:rPr>
                      <w:rFonts w:hint="eastAsia"/>
                      <w:szCs w:val="21"/>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812" w:type="dxa"/>
                  <w:vAlign w:val="center"/>
                </w:tcPr>
                <w:p>
                  <w:pPr>
                    <w:adjustRightInd w:val="0"/>
                    <w:snapToGrid w:val="0"/>
                    <w:jc w:val="center"/>
                    <w:rPr>
                      <w:szCs w:val="21"/>
                    </w:rPr>
                  </w:pPr>
                  <w:r>
                    <w:rPr>
                      <w:rFonts w:hint="eastAsia"/>
                      <w:szCs w:val="21"/>
                    </w:rPr>
                    <w:t>2</w:t>
                  </w:r>
                </w:p>
              </w:tc>
              <w:tc>
                <w:tcPr>
                  <w:tcW w:w="1315" w:type="dxa"/>
                  <w:vAlign w:val="center"/>
                </w:tcPr>
                <w:p>
                  <w:pPr>
                    <w:adjustRightInd w:val="0"/>
                    <w:snapToGrid w:val="0"/>
                    <w:jc w:val="center"/>
                    <w:rPr>
                      <w:szCs w:val="21"/>
                    </w:rPr>
                  </w:pPr>
                  <w:r>
                    <w:rPr>
                      <w:szCs w:val="21"/>
                    </w:rPr>
                    <w:t>噪声</w:t>
                  </w:r>
                </w:p>
              </w:tc>
              <w:tc>
                <w:tcPr>
                  <w:tcW w:w="1984" w:type="dxa"/>
                  <w:vAlign w:val="center"/>
                </w:tcPr>
                <w:p>
                  <w:pPr>
                    <w:adjustRightInd w:val="0"/>
                    <w:snapToGrid w:val="0"/>
                    <w:jc w:val="center"/>
                    <w:rPr>
                      <w:szCs w:val="21"/>
                    </w:rPr>
                  </w:pPr>
                  <w:r>
                    <w:rPr>
                      <w:rFonts w:hint="eastAsia"/>
                      <w:szCs w:val="21"/>
                    </w:rPr>
                    <w:t>机械设备运行</w:t>
                  </w:r>
                </w:p>
              </w:tc>
              <w:tc>
                <w:tcPr>
                  <w:tcW w:w="3574" w:type="dxa"/>
                  <w:vAlign w:val="center"/>
                </w:tcPr>
                <w:p>
                  <w:pPr>
                    <w:adjustRightInd w:val="0"/>
                    <w:snapToGrid w:val="0"/>
                    <w:jc w:val="center"/>
                    <w:rPr>
                      <w:szCs w:val="21"/>
                    </w:rPr>
                  </w:pPr>
                  <w:r>
                    <w:rPr>
                      <w:szCs w:val="21"/>
                    </w:rPr>
                    <w:t>机械噪声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812" w:type="dxa"/>
                  <w:vMerge w:val="restart"/>
                  <w:vAlign w:val="center"/>
                </w:tcPr>
                <w:p>
                  <w:pPr>
                    <w:adjustRightInd w:val="0"/>
                    <w:snapToGrid w:val="0"/>
                    <w:jc w:val="center"/>
                    <w:rPr>
                      <w:szCs w:val="21"/>
                    </w:rPr>
                  </w:pPr>
                  <w:r>
                    <w:rPr>
                      <w:rFonts w:hint="eastAsia"/>
                      <w:szCs w:val="21"/>
                    </w:rPr>
                    <w:t>3</w:t>
                  </w:r>
                </w:p>
              </w:tc>
              <w:tc>
                <w:tcPr>
                  <w:tcW w:w="1315" w:type="dxa"/>
                  <w:vMerge w:val="restart"/>
                  <w:vAlign w:val="center"/>
                </w:tcPr>
                <w:p>
                  <w:pPr>
                    <w:adjustRightInd w:val="0"/>
                    <w:snapToGrid w:val="0"/>
                    <w:jc w:val="center"/>
                    <w:rPr>
                      <w:szCs w:val="21"/>
                    </w:rPr>
                  </w:pPr>
                  <w:r>
                    <w:rPr>
                      <w:rFonts w:hint="eastAsia"/>
                      <w:szCs w:val="21"/>
                    </w:rPr>
                    <w:t>废水</w:t>
                  </w:r>
                </w:p>
              </w:tc>
              <w:tc>
                <w:tcPr>
                  <w:tcW w:w="1984" w:type="dxa"/>
                  <w:vAlign w:val="center"/>
                </w:tcPr>
                <w:p>
                  <w:pPr>
                    <w:adjustRightInd w:val="0"/>
                    <w:snapToGrid w:val="0"/>
                    <w:jc w:val="center"/>
                    <w:rPr>
                      <w:szCs w:val="21"/>
                    </w:rPr>
                  </w:pPr>
                  <w:r>
                    <w:rPr>
                      <w:rFonts w:hint="eastAsia"/>
                      <w:szCs w:val="21"/>
                    </w:rPr>
                    <w:t>员工生活污水</w:t>
                  </w:r>
                </w:p>
              </w:tc>
              <w:tc>
                <w:tcPr>
                  <w:tcW w:w="3574" w:type="dxa"/>
                  <w:vAlign w:val="center"/>
                </w:tcPr>
                <w:p>
                  <w:pPr>
                    <w:adjustRightInd w:val="0"/>
                    <w:snapToGrid w:val="0"/>
                    <w:jc w:val="center"/>
                    <w:rPr>
                      <w:szCs w:val="21"/>
                    </w:rPr>
                  </w:pPr>
                  <w:r>
                    <w:rPr>
                      <w:rFonts w:hint="eastAsia"/>
                      <w:szCs w:val="21"/>
                    </w:rPr>
                    <w:t>COD、BOD</w:t>
                  </w:r>
                  <w:r>
                    <w:rPr>
                      <w:rFonts w:hint="eastAsia"/>
                      <w:szCs w:val="21"/>
                      <w:vertAlign w:val="subscript"/>
                    </w:rPr>
                    <w:t>5、</w:t>
                  </w:r>
                  <w:r>
                    <w:rPr>
                      <w:rFonts w:hint="eastAsia"/>
                      <w:szCs w:val="21"/>
                    </w:rPr>
                    <w:t>SS、氨氮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812" w:type="dxa"/>
                  <w:vMerge w:val="continue"/>
                  <w:vAlign w:val="center"/>
                </w:tcPr>
                <w:p>
                  <w:pPr>
                    <w:adjustRightInd w:val="0"/>
                    <w:snapToGrid w:val="0"/>
                    <w:jc w:val="center"/>
                    <w:rPr>
                      <w:szCs w:val="21"/>
                    </w:rPr>
                  </w:pPr>
                </w:p>
              </w:tc>
              <w:tc>
                <w:tcPr>
                  <w:tcW w:w="1315" w:type="dxa"/>
                  <w:vMerge w:val="continue"/>
                  <w:vAlign w:val="center"/>
                </w:tcPr>
                <w:p>
                  <w:pPr>
                    <w:adjustRightInd w:val="0"/>
                    <w:snapToGrid w:val="0"/>
                    <w:jc w:val="center"/>
                    <w:rPr>
                      <w:szCs w:val="21"/>
                    </w:rPr>
                  </w:pPr>
                </w:p>
              </w:tc>
              <w:tc>
                <w:tcPr>
                  <w:tcW w:w="1984" w:type="dxa"/>
                  <w:vAlign w:val="center"/>
                </w:tcPr>
                <w:p>
                  <w:pPr>
                    <w:adjustRightInd w:val="0"/>
                    <w:snapToGrid w:val="0"/>
                    <w:jc w:val="center"/>
                    <w:rPr>
                      <w:szCs w:val="21"/>
                    </w:rPr>
                  </w:pPr>
                  <w:r>
                    <w:rPr>
                      <w:rFonts w:hint="eastAsia"/>
                      <w:szCs w:val="21"/>
                    </w:rPr>
                    <w:t>洗煤废水、车间冲洗废水、洒水降尘水、压滤机清洗废水、车辆清洗废水、产品贮存沥水</w:t>
                  </w:r>
                </w:p>
              </w:tc>
              <w:tc>
                <w:tcPr>
                  <w:tcW w:w="3574" w:type="dxa"/>
                  <w:vAlign w:val="center"/>
                </w:tcPr>
                <w:p>
                  <w:pPr>
                    <w:adjustRightInd w:val="0"/>
                    <w:snapToGrid w:val="0"/>
                    <w:jc w:val="center"/>
                    <w:rPr>
                      <w:szCs w:val="21"/>
                    </w:rPr>
                  </w:pPr>
                  <w:r>
                    <w:rPr>
                      <w:rFonts w:hint="eastAsia"/>
                      <w:szCs w:val="21"/>
                    </w:rPr>
                    <w:t>COD、BOD</w:t>
                  </w:r>
                  <w:r>
                    <w:rPr>
                      <w:rFonts w:hint="eastAsia"/>
                      <w:szCs w:val="21"/>
                      <w:vertAlign w:val="subscript"/>
                    </w:rPr>
                    <w:t>5、</w:t>
                  </w:r>
                  <w:r>
                    <w:rPr>
                      <w:rFonts w:hint="eastAsia"/>
                      <w:szCs w:val="21"/>
                    </w:rPr>
                    <w:t>SS、石油类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3" w:hRule="atLeast"/>
              </w:trPr>
              <w:tc>
                <w:tcPr>
                  <w:tcW w:w="812" w:type="dxa"/>
                  <w:vMerge w:val="restart"/>
                  <w:vAlign w:val="center"/>
                </w:tcPr>
                <w:p>
                  <w:pPr>
                    <w:adjustRightInd w:val="0"/>
                    <w:snapToGrid w:val="0"/>
                    <w:jc w:val="center"/>
                    <w:rPr>
                      <w:szCs w:val="21"/>
                    </w:rPr>
                  </w:pPr>
                  <w:r>
                    <w:rPr>
                      <w:rFonts w:hint="eastAsia"/>
                      <w:szCs w:val="21"/>
                    </w:rPr>
                    <w:t>3</w:t>
                  </w:r>
                </w:p>
              </w:tc>
              <w:tc>
                <w:tcPr>
                  <w:tcW w:w="1315" w:type="dxa"/>
                  <w:vMerge w:val="restart"/>
                  <w:vAlign w:val="center"/>
                </w:tcPr>
                <w:p>
                  <w:pPr>
                    <w:adjustRightInd w:val="0"/>
                    <w:snapToGrid w:val="0"/>
                    <w:jc w:val="center"/>
                    <w:rPr>
                      <w:szCs w:val="21"/>
                    </w:rPr>
                  </w:pPr>
                  <w:r>
                    <w:rPr>
                      <w:szCs w:val="21"/>
                    </w:rPr>
                    <w:t>固体废物</w:t>
                  </w:r>
                </w:p>
              </w:tc>
              <w:tc>
                <w:tcPr>
                  <w:tcW w:w="1984" w:type="dxa"/>
                  <w:vAlign w:val="center"/>
                </w:tcPr>
                <w:p>
                  <w:pPr>
                    <w:adjustRightInd w:val="0"/>
                    <w:snapToGrid w:val="0"/>
                    <w:jc w:val="center"/>
                    <w:rPr>
                      <w:szCs w:val="21"/>
                    </w:rPr>
                  </w:pPr>
                  <w:r>
                    <w:rPr>
                      <w:rFonts w:hint="eastAsia"/>
                      <w:szCs w:val="21"/>
                    </w:rPr>
                    <w:t>洗煤工序</w:t>
                  </w:r>
                </w:p>
              </w:tc>
              <w:tc>
                <w:tcPr>
                  <w:tcW w:w="3574" w:type="dxa"/>
                  <w:vAlign w:val="center"/>
                </w:tcPr>
                <w:p>
                  <w:pPr>
                    <w:adjustRightInd w:val="0"/>
                    <w:snapToGrid w:val="0"/>
                    <w:jc w:val="center"/>
                    <w:rPr>
                      <w:szCs w:val="21"/>
                    </w:rPr>
                  </w:pPr>
                  <w:r>
                    <w:rPr>
                      <w:rFonts w:hint="eastAsia"/>
                      <w:szCs w:val="21"/>
                    </w:rPr>
                    <w:t>煤矸石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3" w:hRule="atLeast"/>
              </w:trPr>
              <w:tc>
                <w:tcPr>
                  <w:tcW w:w="812" w:type="dxa"/>
                  <w:vMerge w:val="continue"/>
                  <w:vAlign w:val="center"/>
                </w:tcPr>
                <w:p>
                  <w:pPr>
                    <w:adjustRightInd w:val="0"/>
                    <w:snapToGrid w:val="0"/>
                    <w:jc w:val="center"/>
                    <w:rPr>
                      <w:szCs w:val="21"/>
                    </w:rPr>
                  </w:pPr>
                </w:p>
              </w:tc>
              <w:tc>
                <w:tcPr>
                  <w:tcW w:w="1315" w:type="dxa"/>
                  <w:vMerge w:val="continue"/>
                  <w:vAlign w:val="center"/>
                </w:tcPr>
                <w:p>
                  <w:pPr>
                    <w:adjustRightInd w:val="0"/>
                    <w:snapToGrid w:val="0"/>
                    <w:jc w:val="center"/>
                    <w:rPr>
                      <w:szCs w:val="21"/>
                    </w:rPr>
                  </w:pPr>
                </w:p>
              </w:tc>
              <w:tc>
                <w:tcPr>
                  <w:tcW w:w="1984" w:type="dxa"/>
                  <w:vAlign w:val="center"/>
                </w:tcPr>
                <w:p>
                  <w:pPr>
                    <w:adjustRightInd w:val="0"/>
                    <w:snapToGrid w:val="0"/>
                    <w:jc w:val="center"/>
                    <w:rPr>
                      <w:szCs w:val="21"/>
                    </w:rPr>
                  </w:pPr>
                  <w:r>
                    <w:rPr>
                      <w:rFonts w:hint="eastAsia"/>
                      <w:szCs w:val="21"/>
                    </w:rPr>
                    <w:t>设备维修、养护</w:t>
                  </w:r>
                </w:p>
              </w:tc>
              <w:tc>
                <w:tcPr>
                  <w:tcW w:w="3574" w:type="dxa"/>
                  <w:vAlign w:val="center"/>
                </w:tcPr>
                <w:p>
                  <w:pPr>
                    <w:adjustRightInd w:val="0"/>
                    <w:snapToGrid w:val="0"/>
                    <w:jc w:val="center"/>
                    <w:rPr>
                      <w:szCs w:val="21"/>
                    </w:rPr>
                  </w:pPr>
                  <w:r>
                    <w:rPr>
                      <w:rFonts w:hint="eastAsia"/>
                      <w:szCs w:val="21"/>
                    </w:rPr>
                    <w:t>废矿物油、废弃含油抹布及劳保用品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3" w:hRule="atLeast"/>
              </w:trPr>
              <w:tc>
                <w:tcPr>
                  <w:tcW w:w="812" w:type="dxa"/>
                  <w:vMerge w:val="continue"/>
                  <w:vAlign w:val="center"/>
                </w:tcPr>
                <w:p>
                  <w:pPr>
                    <w:adjustRightInd w:val="0"/>
                    <w:snapToGrid w:val="0"/>
                    <w:jc w:val="center"/>
                    <w:rPr>
                      <w:szCs w:val="21"/>
                    </w:rPr>
                  </w:pPr>
                </w:p>
              </w:tc>
              <w:tc>
                <w:tcPr>
                  <w:tcW w:w="1315" w:type="dxa"/>
                  <w:vMerge w:val="continue"/>
                  <w:vAlign w:val="center"/>
                </w:tcPr>
                <w:p>
                  <w:pPr>
                    <w:adjustRightInd w:val="0"/>
                    <w:snapToGrid w:val="0"/>
                    <w:jc w:val="center"/>
                    <w:rPr>
                      <w:szCs w:val="21"/>
                    </w:rPr>
                  </w:pPr>
                </w:p>
              </w:tc>
              <w:tc>
                <w:tcPr>
                  <w:tcW w:w="1984" w:type="dxa"/>
                  <w:vAlign w:val="center"/>
                </w:tcPr>
                <w:p>
                  <w:pPr>
                    <w:adjustRightInd w:val="0"/>
                    <w:snapToGrid w:val="0"/>
                    <w:jc w:val="center"/>
                    <w:rPr>
                      <w:szCs w:val="21"/>
                    </w:rPr>
                  </w:pPr>
                  <w:r>
                    <w:rPr>
                      <w:rFonts w:hint="eastAsia"/>
                      <w:szCs w:val="21"/>
                    </w:rPr>
                    <w:t>沉淀池、雨水收集池</w:t>
                  </w:r>
                </w:p>
              </w:tc>
              <w:tc>
                <w:tcPr>
                  <w:tcW w:w="3574" w:type="dxa"/>
                  <w:vAlign w:val="center"/>
                </w:tcPr>
                <w:p>
                  <w:pPr>
                    <w:adjustRightInd w:val="0"/>
                    <w:snapToGrid w:val="0"/>
                    <w:jc w:val="center"/>
                    <w:rPr>
                      <w:szCs w:val="21"/>
                    </w:rPr>
                  </w:pPr>
                  <w:r>
                    <w:rPr>
                      <w:rFonts w:hint="eastAsia"/>
                      <w:szCs w:val="21"/>
                    </w:rPr>
                    <w:t>沉淀池、雨水收集池沉渣</w:t>
                  </w:r>
                </w:p>
              </w:tc>
            </w:tr>
          </w:tbl>
          <w:p>
            <w:pPr>
              <w:pStyle w:val="46"/>
              <w:adjustRightInd/>
              <w:snapToGrid/>
              <w:jc w:val="both"/>
              <w:rPr>
                <w:rFonts w:eastAsia="宋体" w:cs="Times New Roma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03" w:hRule="atLeast"/>
          <w:jc w:val="center"/>
        </w:trPr>
        <w:tc>
          <w:tcPr>
            <w:tcW w:w="923" w:type="dxa"/>
            <w:vAlign w:val="center"/>
          </w:tcPr>
          <w:p>
            <w:pPr>
              <w:spacing w:line="360" w:lineRule="auto"/>
              <w:jc w:val="center"/>
              <w:rPr>
                <w:sz w:val="24"/>
              </w:rPr>
            </w:pPr>
            <w:r>
              <w:rPr>
                <w:sz w:val="24"/>
              </w:rPr>
              <w:t>与项目有关的原有环境污染问题</w:t>
            </w:r>
          </w:p>
        </w:tc>
        <w:tc>
          <w:tcPr>
            <w:tcW w:w="7901" w:type="dxa"/>
            <w:vAlign w:val="center"/>
          </w:tcPr>
          <w:p>
            <w:pPr>
              <w:pStyle w:val="52"/>
              <w:spacing w:line="500" w:lineRule="exact"/>
              <w:ind w:firstLine="480"/>
              <w:rPr>
                <w:color w:val="auto"/>
              </w:rPr>
            </w:pPr>
            <w:r>
              <w:rPr>
                <w:rFonts w:cs="Times New Roman"/>
                <w:color w:val="auto"/>
                <w:sz w:val="24"/>
              </w:rPr>
              <w:t>本项目为新建项目，</w:t>
            </w:r>
            <w:r>
              <w:rPr>
                <w:rFonts w:hint="eastAsia" w:cs="Times New Roman"/>
                <w:color w:val="auto"/>
                <w:sz w:val="24"/>
              </w:rPr>
              <w:t>租赁峻丰村原旭翔煤矿现有厂房进行生产，峻丰村原旭翔煤矿已于2023年停产，现有厂房均已闲置并清空了生产设备和各项废弃物，结合本项目地下水环境质量现状监测数据结果，可知本项目选址位置无原有“三废”遗留问题，</w:t>
            </w:r>
            <w:r>
              <w:rPr>
                <w:rFonts w:cs="Times New Roman"/>
                <w:color w:val="auto"/>
                <w:sz w:val="24"/>
              </w:rPr>
              <w:t>无原有污染情况及主要环境问题。</w:t>
            </w:r>
          </w:p>
        </w:tc>
      </w:tr>
    </w:tbl>
    <w:p>
      <w:pPr>
        <w:pStyle w:val="15"/>
        <w:ind w:firstLine="720"/>
        <w:jc w:val="center"/>
        <w:rPr>
          <w:rFonts w:ascii="Times New Roman" w:hAnsi="Times New Roman"/>
          <w:snapToGrid w:val="0"/>
          <w:sz w:val="36"/>
          <w:szCs w:val="36"/>
        </w:rPr>
        <w:sectPr>
          <w:pgSz w:w="11906" w:h="16838"/>
          <w:pgMar w:top="1701" w:right="1531" w:bottom="1701" w:left="1531" w:header="851" w:footer="851" w:gutter="0"/>
          <w:cols w:space="720" w:num="1"/>
          <w:docGrid w:linePitch="312" w:charSpace="0"/>
        </w:sectPr>
      </w:pPr>
    </w:p>
    <w:p>
      <w:pPr>
        <w:pStyle w:val="15"/>
        <w:adjustRightInd w:val="0"/>
        <w:snapToGrid w:val="0"/>
        <w:spacing w:before="0" w:beforeAutospacing="0" w:after="0" w:afterAutospacing="0"/>
        <w:outlineLvl w:val="0"/>
        <w:rPr>
          <w:rFonts w:ascii="Times New Roman" w:hAnsi="Times New Roman"/>
          <w:snapToGrid w:val="0"/>
          <w:sz w:val="30"/>
          <w:szCs w:val="30"/>
        </w:rPr>
      </w:pPr>
      <w:bookmarkStart w:id="14" w:name="_Toc210915802"/>
      <w:r>
        <w:rPr>
          <w:rFonts w:ascii="Times New Roman" w:hAnsi="Times New Roman"/>
          <w:snapToGrid w:val="0"/>
          <w:sz w:val="30"/>
          <w:szCs w:val="30"/>
        </w:rPr>
        <w:t>三、区域环境质量现状、环境保护目标及评价标准</w:t>
      </w:r>
      <w:bookmarkEnd w:id="14"/>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00" w:type="dxa"/>
            <w:vAlign w:val="center"/>
          </w:tcPr>
          <w:p>
            <w:pPr>
              <w:jc w:val="center"/>
              <w:rPr>
                <w:sz w:val="24"/>
              </w:rPr>
            </w:pPr>
            <w:r>
              <w:rPr>
                <w:sz w:val="24"/>
              </w:rPr>
              <w:t>区域</w:t>
            </w:r>
          </w:p>
          <w:p>
            <w:pPr>
              <w:jc w:val="center"/>
              <w:rPr>
                <w:sz w:val="24"/>
              </w:rPr>
            </w:pPr>
            <w:r>
              <w:rPr>
                <w:sz w:val="24"/>
              </w:rPr>
              <w:t>环境</w:t>
            </w:r>
          </w:p>
          <w:p>
            <w:pPr>
              <w:jc w:val="center"/>
              <w:rPr>
                <w:sz w:val="24"/>
              </w:rPr>
            </w:pPr>
            <w:r>
              <w:rPr>
                <w:sz w:val="24"/>
              </w:rPr>
              <w:t>质量</w:t>
            </w:r>
          </w:p>
          <w:p>
            <w:pPr>
              <w:jc w:val="center"/>
              <w:rPr>
                <w:sz w:val="24"/>
              </w:rPr>
            </w:pPr>
            <w:r>
              <w:rPr>
                <w:sz w:val="24"/>
              </w:rPr>
              <w:t>现状</w:t>
            </w:r>
          </w:p>
        </w:tc>
        <w:tc>
          <w:tcPr>
            <w:tcW w:w="8190" w:type="dxa"/>
            <w:vAlign w:val="center"/>
          </w:tcPr>
          <w:p>
            <w:pPr>
              <w:pStyle w:val="79"/>
              <w:spacing w:line="500" w:lineRule="exact"/>
              <w:ind w:firstLine="482"/>
              <w:rPr>
                <w:rFonts w:cs="Times New Roman"/>
                <w:b/>
                <w:bCs/>
                <w:color w:val="auto"/>
                <w:sz w:val="24"/>
              </w:rPr>
            </w:pPr>
            <w:r>
              <w:rPr>
                <w:rFonts w:cs="Times New Roman"/>
                <w:b/>
                <w:bCs/>
                <w:color w:val="auto"/>
                <w:sz w:val="24"/>
              </w:rPr>
              <w:t>一、大气环境质量现状</w:t>
            </w:r>
          </w:p>
          <w:p>
            <w:pPr>
              <w:pStyle w:val="79"/>
              <w:spacing w:line="500" w:lineRule="exact"/>
              <w:ind w:firstLine="480"/>
              <w:rPr>
                <w:rFonts w:cs="Times New Roman"/>
                <w:color w:val="auto"/>
                <w:sz w:val="24"/>
              </w:rPr>
            </w:pPr>
            <w:r>
              <w:rPr>
                <w:rFonts w:cs="Times New Roman"/>
                <w:color w:val="auto"/>
                <w:sz w:val="24"/>
              </w:rPr>
              <w:t>（一）空气质量达标区判定</w:t>
            </w:r>
          </w:p>
          <w:p>
            <w:pPr>
              <w:pStyle w:val="79"/>
              <w:spacing w:line="500" w:lineRule="exact"/>
              <w:ind w:firstLine="480"/>
              <w:rPr>
                <w:rFonts w:cs="Times New Roman"/>
                <w:color w:val="auto"/>
                <w:sz w:val="24"/>
              </w:rPr>
            </w:pPr>
            <w:r>
              <w:rPr>
                <w:rFonts w:hint="eastAsia" w:cs="Times New Roman"/>
                <w:color w:val="auto"/>
                <w:sz w:val="24"/>
              </w:rPr>
              <w:t>根据《</w:t>
            </w:r>
            <w:bookmarkStart w:id="15" w:name="_Hlk211948480"/>
            <w:r>
              <w:rPr>
                <w:rFonts w:hint="eastAsia" w:cs="Times New Roman"/>
                <w:color w:val="auto"/>
                <w:sz w:val="24"/>
              </w:rPr>
              <w:t>2024年黑龙江省生态环境质量状况</w:t>
            </w:r>
            <w:bookmarkEnd w:id="15"/>
            <w:r>
              <w:rPr>
                <w:rFonts w:hint="eastAsia" w:cs="Times New Roman"/>
                <w:color w:val="auto"/>
                <w:sz w:val="24"/>
              </w:rPr>
              <w:t>》提供2024年鹤岗市环境空气质量数据，本项目常规污染物（SO</w:t>
            </w:r>
            <w:r>
              <w:rPr>
                <w:rFonts w:hint="eastAsia" w:cs="Times New Roman"/>
                <w:color w:val="auto"/>
                <w:sz w:val="24"/>
                <w:vertAlign w:val="subscript"/>
              </w:rPr>
              <w:t>2</w:t>
            </w:r>
            <w:r>
              <w:rPr>
                <w:rFonts w:hint="eastAsia" w:cs="Times New Roman"/>
                <w:color w:val="auto"/>
                <w:sz w:val="24"/>
              </w:rPr>
              <w:t>、NO</w:t>
            </w:r>
            <w:r>
              <w:rPr>
                <w:rFonts w:hint="eastAsia" w:cs="Times New Roman"/>
                <w:color w:val="auto"/>
                <w:sz w:val="24"/>
                <w:vertAlign w:val="subscript"/>
              </w:rPr>
              <w:t>2</w:t>
            </w:r>
            <w:r>
              <w:rPr>
                <w:rFonts w:hint="eastAsia" w:cs="Times New Roman"/>
                <w:color w:val="auto"/>
                <w:sz w:val="24"/>
              </w:rPr>
              <w:t>、PM</w:t>
            </w:r>
            <w:r>
              <w:rPr>
                <w:rFonts w:hint="eastAsia" w:cs="Times New Roman"/>
                <w:color w:val="auto"/>
                <w:sz w:val="24"/>
                <w:vertAlign w:val="subscript"/>
              </w:rPr>
              <w:t>10</w:t>
            </w:r>
            <w:r>
              <w:rPr>
                <w:rFonts w:hint="eastAsia" w:cs="Times New Roman"/>
                <w:color w:val="auto"/>
                <w:sz w:val="24"/>
              </w:rPr>
              <w:t>、O</w:t>
            </w:r>
            <w:r>
              <w:rPr>
                <w:rFonts w:hint="eastAsia" w:cs="Times New Roman"/>
                <w:color w:val="auto"/>
                <w:sz w:val="24"/>
                <w:vertAlign w:val="subscript"/>
              </w:rPr>
              <w:t>3</w:t>
            </w:r>
            <w:r>
              <w:rPr>
                <w:rFonts w:hint="eastAsia" w:cs="Times New Roman"/>
                <w:color w:val="auto"/>
                <w:sz w:val="24"/>
              </w:rPr>
              <w:t>、CO、PM</w:t>
            </w:r>
            <w:r>
              <w:rPr>
                <w:rFonts w:hint="eastAsia" w:cs="Times New Roman"/>
                <w:color w:val="auto"/>
                <w:sz w:val="24"/>
                <w:vertAlign w:val="subscript"/>
              </w:rPr>
              <w:t>2.5</w:t>
            </w:r>
            <w:r>
              <w:rPr>
                <w:rFonts w:hint="eastAsia" w:cs="Times New Roman"/>
                <w:color w:val="auto"/>
                <w:sz w:val="24"/>
              </w:rPr>
              <w:t>）区域空气质量现状评价情况见下表。</w:t>
            </w:r>
          </w:p>
          <w:p>
            <w:pPr>
              <w:pStyle w:val="46"/>
              <w:adjustRightInd/>
              <w:snapToGrid/>
              <w:rPr>
                <w:rFonts w:eastAsia="宋体" w:cs="Times New Roman"/>
                <w:b w:val="0"/>
                <w:bCs/>
                <w:szCs w:val="24"/>
              </w:rPr>
            </w:pPr>
            <w:r>
              <w:rPr>
                <w:rFonts w:eastAsia="宋体" w:cs="Times New Roman"/>
                <w:bCs/>
                <w:szCs w:val="24"/>
              </w:rPr>
              <w:t>表3-1 区域环境空气现状评价表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3"/>
              <w:gridCol w:w="2121"/>
              <w:gridCol w:w="1469"/>
              <w:gridCol w:w="1306"/>
              <w:gridCol w:w="980"/>
              <w:gridCol w:w="10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3" w:type="dxa"/>
                  <w:vAlign w:val="center"/>
                </w:tcPr>
                <w:p>
                  <w:pPr>
                    <w:pStyle w:val="84"/>
                    <w:rPr>
                      <w:color w:val="auto"/>
                    </w:rPr>
                  </w:pPr>
                  <w:r>
                    <w:rPr>
                      <w:color w:val="auto"/>
                    </w:rPr>
                    <w:t>污染物</w:t>
                  </w:r>
                </w:p>
              </w:tc>
              <w:tc>
                <w:tcPr>
                  <w:tcW w:w="2121" w:type="dxa"/>
                  <w:vAlign w:val="center"/>
                </w:tcPr>
                <w:p>
                  <w:pPr>
                    <w:pStyle w:val="84"/>
                    <w:rPr>
                      <w:color w:val="auto"/>
                    </w:rPr>
                  </w:pPr>
                  <w:r>
                    <w:rPr>
                      <w:color w:val="auto"/>
                    </w:rPr>
                    <w:t>年评价指标</w:t>
                  </w:r>
                </w:p>
              </w:tc>
              <w:tc>
                <w:tcPr>
                  <w:tcW w:w="1469" w:type="dxa"/>
                  <w:vAlign w:val="center"/>
                </w:tcPr>
                <w:p>
                  <w:pPr>
                    <w:pStyle w:val="84"/>
                    <w:rPr>
                      <w:color w:val="auto"/>
                    </w:rPr>
                  </w:pPr>
                  <w:r>
                    <w:rPr>
                      <w:color w:val="auto"/>
                    </w:rPr>
                    <w:t>现状浓度/</w:t>
                  </w:r>
                  <w:r>
                    <w:rPr>
                      <w:snapToGrid w:val="0"/>
                      <w:color w:val="auto"/>
                      <w:kern w:val="0"/>
                      <w:sz w:val="24"/>
                    </w:rPr>
                    <w:t>μg/m</w:t>
                  </w:r>
                  <w:r>
                    <w:rPr>
                      <w:snapToGrid w:val="0"/>
                      <w:color w:val="auto"/>
                      <w:kern w:val="0"/>
                      <w:sz w:val="24"/>
                      <w:vertAlign w:val="superscript"/>
                    </w:rPr>
                    <w:t>3</w:t>
                  </w:r>
                </w:p>
              </w:tc>
              <w:tc>
                <w:tcPr>
                  <w:tcW w:w="1306" w:type="dxa"/>
                  <w:vAlign w:val="center"/>
                </w:tcPr>
                <w:p>
                  <w:pPr>
                    <w:pStyle w:val="84"/>
                    <w:rPr>
                      <w:color w:val="auto"/>
                    </w:rPr>
                  </w:pPr>
                  <w:r>
                    <w:rPr>
                      <w:color w:val="auto"/>
                    </w:rPr>
                    <w:t>标准值/</w:t>
                  </w:r>
                  <w:r>
                    <w:rPr>
                      <w:snapToGrid w:val="0"/>
                      <w:color w:val="auto"/>
                      <w:kern w:val="0"/>
                      <w:sz w:val="24"/>
                    </w:rPr>
                    <w:t>μg/m</w:t>
                  </w:r>
                  <w:r>
                    <w:rPr>
                      <w:snapToGrid w:val="0"/>
                      <w:color w:val="auto"/>
                      <w:kern w:val="0"/>
                      <w:sz w:val="24"/>
                      <w:vertAlign w:val="superscript"/>
                    </w:rPr>
                    <w:t>3</w:t>
                  </w:r>
                </w:p>
              </w:tc>
              <w:tc>
                <w:tcPr>
                  <w:tcW w:w="980" w:type="dxa"/>
                  <w:vAlign w:val="center"/>
                </w:tcPr>
                <w:p>
                  <w:pPr>
                    <w:pStyle w:val="84"/>
                    <w:rPr>
                      <w:color w:val="auto"/>
                    </w:rPr>
                  </w:pPr>
                  <w:r>
                    <w:rPr>
                      <w:color w:val="auto"/>
                    </w:rPr>
                    <w:t>占标率/%</w:t>
                  </w:r>
                </w:p>
              </w:tc>
              <w:tc>
                <w:tcPr>
                  <w:tcW w:w="1025" w:type="dxa"/>
                  <w:vAlign w:val="center"/>
                </w:tcPr>
                <w:p>
                  <w:pPr>
                    <w:pStyle w:val="84"/>
                    <w:rPr>
                      <w:color w:val="auto"/>
                    </w:rPr>
                  </w:pPr>
                  <w:r>
                    <w:rPr>
                      <w:color w:val="auto"/>
                    </w:rPr>
                    <w:t>达标</w:t>
                  </w:r>
                </w:p>
                <w:p>
                  <w:pPr>
                    <w:pStyle w:val="84"/>
                    <w:rPr>
                      <w:color w:val="auto"/>
                    </w:rPr>
                  </w:pPr>
                  <w:r>
                    <w:rPr>
                      <w:color w:val="auto"/>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3" w:type="dxa"/>
                  <w:vAlign w:val="center"/>
                </w:tcPr>
                <w:p>
                  <w:pPr>
                    <w:pStyle w:val="84"/>
                    <w:rPr>
                      <w:color w:val="auto"/>
                      <w:szCs w:val="21"/>
                    </w:rPr>
                  </w:pPr>
                  <w:r>
                    <w:rPr>
                      <w:snapToGrid w:val="0"/>
                      <w:color w:val="auto"/>
                      <w:kern w:val="0"/>
                      <w:szCs w:val="21"/>
                    </w:rPr>
                    <w:t>PM</w:t>
                  </w:r>
                  <w:r>
                    <w:rPr>
                      <w:snapToGrid w:val="0"/>
                      <w:color w:val="auto"/>
                      <w:kern w:val="0"/>
                      <w:szCs w:val="21"/>
                      <w:vertAlign w:val="subscript"/>
                    </w:rPr>
                    <w:t>2.5</w:t>
                  </w:r>
                </w:p>
              </w:tc>
              <w:tc>
                <w:tcPr>
                  <w:tcW w:w="2121" w:type="dxa"/>
                  <w:vAlign w:val="center"/>
                </w:tcPr>
                <w:p>
                  <w:pPr>
                    <w:pStyle w:val="84"/>
                    <w:rPr>
                      <w:color w:val="auto"/>
                    </w:rPr>
                  </w:pPr>
                  <w:r>
                    <w:rPr>
                      <w:color w:val="auto"/>
                    </w:rPr>
                    <w:t>年平均质量浓度</w:t>
                  </w:r>
                </w:p>
              </w:tc>
              <w:tc>
                <w:tcPr>
                  <w:tcW w:w="1469" w:type="dxa"/>
                  <w:vAlign w:val="center"/>
                </w:tcPr>
                <w:p>
                  <w:pPr>
                    <w:pStyle w:val="84"/>
                    <w:rPr>
                      <w:color w:val="auto"/>
                    </w:rPr>
                  </w:pPr>
                  <w:r>
                    <w:rPr>
                      <w:rFonts w:hint="eastAsia" w:eastAsia="仿宋"/>
                      <w:color w:val="auto"/>
                    </w:rPr>
                    <w:t>24</w:t>
                  </w:r>
                </w:p>
              </w:tc>
              <w:tc>
                <w:tcPr>
                  <w:tcW w:w="1306" w:type="dxa"/>
                  <w:vAlign w:val="center"/>
                </w:tcPr>
                <w:p>
                  <w:pPr>
                    <w:pStyle w:val="84"/>
                    <w:rPr>
                      <w:color w:val="auto"/>
                    </w:rPr>
                  </w:pPr>
                  <w:r>
                    <w:rPr>
                      <w:color w:val="auto"/>
                    </w:rPr>
                    <w:t>35</w:t>
                  </w:r>
                </w:p>
              </w:tc>
              <w:tc>
                <w:tcPr>
                  <w:tcW w:w="980" w:type="dxa"/>
                  <w:vAlign w:val="center"/>
                </w:tcPr>
                <w:p>
                  <w:pPr>
                    <w:pStyle w:val="84"/>
                    <w:rPr>
                      <w:color w:val="auto"/>
                    </w:rPr>
                  </w:pPr>
                  <w:r>
                    <w:rPr>
                      <w:rFonts w:hint="eastAsia" w:eastAsia="仿宋"/>
                      <w:color w:val="auto"/>
                    </w:rPr>
                    <w:t>68.6</w:t>
                  </w:r>
                </w:p>
              </w:tc>
              <w:tc>
                <w:tcPr>
                  <w:tcW w:w="1025" w:type="dxa"/>
                  <w:vAlign w:val="center"/>
                </w:tcPr>
                <w:p>
                  <w:pPr>
                    <w:pStyle w:val="84"/>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3" w:type="dxa"/>
                  <w:vAlign w:val="center"/>
                </w:tcPr>
                <w:p>
                  <w:pPr>
                    <w:pStyle w:val="84"/>
                    <w:rPr>
                      <w:snapToGrid w:val="0"/>
                      <w:color w:val="auto"/>
                      <w:kern w:val="0"/>
                      <w:szCs w:val="21"/>
                    </w:rPr>
                  </w:pPr>
                  <w:r>
                    <w:rPr>
                      <w:snapToGrid w:val="0"/>
                      <w:color w:val="auto"/>
                      <w:kern w:val="0"/>
                      <w:szCs w:val="21"/>
                    </w:rPr>
                    <w:t>PM</w:t>
                  </w:r>
                  <w:r>
                    <w:rPr>
                      <w:snapToGrid w:val="0"/>
                      <w:color w:val="auto"/>
                      <w:kern w:val="0"/>
                      <w:szCs w:val="21"/>
                      <w:vertAlign w:val="subscript"/>
                    </w:rPr>
                    <w:t>10</w:t>
                  </w:r>
                </w:p>
              </w:tc>
              <w:tc>
                <w:tcPr>
                  <w:tcW w:w="2121" w:type="dxa"/>
                  <w:vAlign w:val="center"/>
                </w:tcPr>
                <w:p>
                  <w:pPr>
                    <w:pStyle w:val="84"/>
                    <w:rPr>
                      <w:color w:val="auto"/>
                    </w:rPr>
                  </w:pPr>
                  <w:r>
                    <w:rPr>
                      <w:color w:val="auto"/>
                    </w:rPr>
                    <w:t>年平均质量浓度</w:t>
                  </w:r>
                </w:p>
              </w:tc>
              <w:tc>
                <w:tcPr>
                  <w:tcW w:w="1469" w:type="dxa"/>
                  <w:vAlign w:val="center"/>
                </w:tcPr>
                <w:p>
                  <w:pPr>
                    <w:pStyle w:val="84"/>
                    <w:rPr>
                      <w:color w:val="auto"/>
                    </w:rPr>
                  </w:pPr>
                  <w:r>
                    <w:rPr>
                      <w:rFonts w:hint="eastAsia" w:eastAsia="仿宋"/>
                      <w:color w:val="auto"/>
                    </w:rPr>
                    <w:t>37</w:t>
                  </w:r>
                </w:p>
              </w:tc>
              <w:tc>
                <w:tcPr>
                  <w:tcW w:w="1306" w:type="dxa"/>
                  <w:vAlign w:val="center"/>
                </w:tcPr>
                <w:p>
                  <w:pPr>
                    <w:pStyle w:val="84"/>
                    <w:rPr>
                      <w:color w:val="auto"/>
                    </w:rPr>
                  </w:pPr>
                  <w:r>
                    <w:rPr>
                      <w:color w:val="auto"/>
                    </w:rPr>
                    <w:t>70</w:t>
                  </w:r>
                </w:p>
              </w:tc>
              <w:tc>
                <w:tcPr>
                  <w:tcW w:w="980" w:type="dxa"/>
                  <w:vAlign w:val="center"/>
                </w:tcPr>
                <w:p>
                  <w:pPr>
                    <w:pStyle w:val="84"/>
                    <w:rPr>
                      <w:color w:val="auto"/>
                    </w:rPr>
                  </w:pPr>
                  <w:r>
                    <w:rPr>
                      <w:rFonts w:hint="eastAsia" w:eastAsia="仿宋"/>
                      <w:color w:val="auto"/>
                    </w:rPr>
                    <w:t>52.9</w:t>
                  </w:r>
                </w:p>
              </w:tc>
              <w:tc>
                <w:tcPr>
                  <w:tcW w:w="1025" w:type="dxa"/>
                  <w:vAlign w:val="center"/>
                </w:tcPr>
                <w:p>
                  <w:pPr>
                    <w:pStyle w:val="84"/>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3" w:type="dxa"/>
                  <w:vAlign w:val="center"/>
                </w:tcPr>
                <w:p>
                  <w:pPr>
                    <w:pStyle w:val="84"/>
                    <w:rPr>
                      <w:snapToGrid w:val="0"/>
                      <w:color w:val="auto"/>
                      <w:kern w:val="0"/>
                      <w:szCs w:val="21"/>
                    </w:rPr>
                  </w:pPr>
                  <w:r>
                    <w:rPr>
                      <w:snapToGrid w:val="0"/>
                      <w:color w:val="auto"/>
                      <w:kern w:val="0"/>
                      <w:szCs w:val="21"/>
                    </w:rPr>
                    <w:t>NO</w:t>
                  </w:r>
                  <w:r>
                    <w:rPr>
                      <w:snapToGrid w:val="0"/>
                      <w:color w:val="auto"/>
                      <w:kern w:val="0"/>
                      <w:szCs w:val="21"/>
                      <w:vertAlign w:val="subscript"/>
                    </w:rPr>
                    <w:t>2</w:t>
                  </w:r>
                </w:p>
              </w:tc>
              <w:tc>
                <w:tcPr>
                  <w:tcW w:w="2121" w:type="dxa"/>
                  <w:vAlign w:val="center"/>
                </w:tcPr>
                <w:p>
                  <w:pPr>
                    <w:pStyle w:val="84"/>
                    <w:rPr>
                      <w:color w:val="auto"/>
                    </w:rPr>
                  </w:pPr>
                  <w:r>
                    <w:rPr>
                      <w:color w:val="auto"/>
                    </w:rPr>
                    <w:t>年平均质量浓度</w:t>
                  </w:r>
                </w:p>
              </w:tc>
              <w:tc>
                <w:tcPr>
                  <w:tcW w:w="1469" w:type="dxa"/>
                  <w:vAlign w:val="center"/>
                </w:tcPr>
                <w:p>
                  <w:pPr>
                    <w:pStyle w:val="84"/>
                    <w:rPr>
                      <w:color w:val="auto"/>
                    </w:rPr>
                  </w:pPr>
                  <w:r>
                    <w:rPr>
                      <w:rFonts w:hint="eastAsia" w:eastAsia="仿宋"/>
                      <w:color w:val="auto"/>
                    </w:rPr>
                    <w:t>12</w:t>
                  </w:r>
                </w:p>
              </w:tc>
              <w:tc>
                <w:tcPr>
                  <w:tcW w:w="1306" w:type="dxa"/>
                  <w:vAlign w:val="center"/>
                </w:tcPr>
                <w:p>
                  <w:pPr>
                    <w:pStyle w:val="84"/>
                    <w:rPr>
                      <w:color w:val="auto"/>
                    </w:rPr>
                  </w:pPr>
                  <w:r>
                    <w:rPr>
                      <w:color w:val="auto"/>
                    </w:rPr>
                    <w:t>40</w:t>
                  </w:r>
                </w:p>
              </w:tc>
              <w:tc>
                <w:tcPr>
                  <w:tcW w:w="980" w:type="dxa"/>
                  <w:vAlign w:val="center"/>
                </w:tcPr>
                <w:p>
                  <w:pPr>
                    <w:pStyle w:val="84"/>
                    <w:rPr>
                      <w:rFonts w:eastAsia="仿宋"/>
                      <w:color w:val="auto"/>
                    </w:rPr>
                  </w:pPr>
                  <w:r>
                    <w:rPr>
                      <w:rFonts w:hint="eastAsia" w:eastAsia="仿宋"/>
                      <w:color w:val="auto"/>
                    </w:rPr>
                    <w:t>30.0</w:t>
                  </w:r>
                </w:p>
              </w:tc>
              <w:tc>
                <w:tcPr>
                  <w:tcW w:w="1025" w:type="dxa"/>
                  <w:vAlign w:val="center"/>
                </w:tcPr>
                <w:p>
                  <w:pPr>
                    <w:pStyle w:val="84"/>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3" w:type="dxa"/>
                  <w:vAlign w:val="center"/>
                </w:tcPr>
                <w:p>
                  <w:pPr>
                    <w:pStyle w:val="84"/>
                    <w:rPr>
                      <w:snapToGrid w:val="0"/>
                      <w:color w:val="auto"/>
                      <w:kern w:val="0"/>
                      <w:szCs w:val="21"/>
                    </w:rPr>
                  </w:pPr>
                  <w:r>
                    <w:rPr>
                      <w:snapToGrid w:val="0"/>
                      <w:color w:val="auto"/>
                      <w:kern w:val="0"/>
                      <w:szCs w:val="21"/>
                    </w:rPr>
                    <w:t>SO</w:t>
                  </w:r>
                  <w:r>
                    <w:rPr>
                      <w:snapToGrid w:val="0"/>
                      <w:color w:val="auto"/>
                      <w:kern w:val="0"/>
                      <w:szCs w:val="21"/>
                      <w:vertAlign w:val="subscript"/>
                    </w:rPr>
                    <w:t>2</w:t>
                  </w:r>
                </w:p>
              </w:tc>
              <w:tc>
                <w:tcPr>
                  <w:tcW w:w="2121" w:type="dxa"/>
                  <w:vAlign w:val="center"/>
                </w:tcPr>
                <w:p>
                  <w:pPr>
                    <w:pStyle w:val="84"/>
                    <w:rPr>
                      <w:color w:val="auto"/>
                    </w:rPr>
                  </w:pPr>
                  <w:r>
                    <w:rPr>
                      <w:color w:val="auto"/>
                    </w:rPr>
                    <w:t>年平均质量浓度</w:t>
                  </w:r>
                </w:p>
              </w:tc>
              <w:tc>
                <w:tcPr>
                  <w:tcW w:w="1469" w:type="dxa"/>
                  <w:vAlign w:val="center"/>
                </w:tcPr>
                <w:p>
                  <w:pPr>
                    <w:pStyle w:val="84"/>
                    <w:rPr>
                      <w:color w:val="auto"/>
                    </w:rPr>
                  </w:pPr>
                  <w:r>
                    <w:rPr>
                      <w:rFonts w:hint="eastAsia" w:eastAsia="仿宋"/>
                      <w:color w:val="auto"/>
                    </w:rPr>
                    <w:t>14</w:t>
                  </w:r>
                </w:p>
              </w:tc>
              <w:tc>
                <w:tcPr>
                  <w:tcW w:w="1306" w:type="dxa"/>
                  <w:vAlign w:val="center"/>
                </w:tcPr>
                <w:p>
                  <w:pPr>
                    <w:pStyle w:val="84"/>
                    <w:rPr>
                      <w:color w:val="auto"/>
                    </w:rPr>
                  </w:pPr>
                  <w:r>
                    <w:rPr>
                      <w:color w:val="auto"/>
                    </w:rPr>
                    <w:t>60</w:t>
                  </w:r>
                </w:p>
              </w:tc>
              <w:tc>
                <w:tcPr>
                  <w:tcW w:w="980" w:type="dxa"/>
                  <w:vAlign w:val="center"/>
                </w:tcPr>
                <w:p>
                  <w:pPr>
                    <w:pStyle w:val="84"/>
                    <w:rPr>
                      <w:color w:val="auto"/>
                    </w:rPr>
                  </w:pPr>
                  <w:r>
                    <w:rPr>
                      <w:rFonts w:hint="eastAsia" w:eastAsia="仿宋"/>
                      <w:color w:val="auto"/>
                    </w:rPr>
                    <w:t>23.3</w:t>
                  </w:r>
                </w:p>
              </w:tc>
              <w:tc>
                <w:tcPr>
                  <w:tcW w:w="1025" w:type="dxa"/>
                  <w:vAlign w:val="center"/>
                </w:tcPr>
                <w:p>
                  <w:pPr>
                    <w:pStyle w:val="84"/>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3" w:type="dxa"/>
                  <w:vAlign w:val="center"/>
                </w:tcPr>
                <w:p>
                  <w:pPr>
                    <w:pStyle w:val="84"/>
                    <w:rPr>
                      <w:snapToGrid w:val="0"/>
                      <w:color w:val="auto"/>
                      <w:kern w:val="0"/>
                      <w:szCs w:val="21"/>
                    </w:rPr>
                  </w:pPr>
                  <w:r>
                    <w:rPr>
                      <w:snapToGrid w:val="0"/>
                      <w:color w:val="auto"/>
                      <w:kern w:val="0"/>
                      <w:szCs w:val="21"/>
                    </w:rPr>
                    <w:t>CO</w:t>
                  </w:r>
                </w:p>
              </w:tc>
              <w:tc>
                <w:tcPr>
                  <w:tcW w:w="2121" w:type="dxa"/>
                  <w:vAlign w:val="center"/>
                </w:tcPr>
                <w:p>
                  <w:pPr>
                    <w:pStyle w:val="84"/>
                    <w:rPr>
                      <w:color w:val="auto"/>
                    </w:rPr>
                  </w:pPr>
                  <w:r>
                    <w:rPr>
                      <w:color w:val="auto"/>
                    </w:rPr>
                    <w:t>百分位数日平均</w:t>
                  </w:r>
                </w:p>
              </w:tc>
              <w:tc>
                <w:tcPr>
                  <w:tcW w:w="1469" w:type="dxa"/>
                  <w:vAlign w:val="center"/>
                </w:tcPr>
                <w:p>
                  <w:pPr>
                    <w:pStyle w:val="84"/>
                    <w:rPr>
                      <w:color w:val="auto"/>
                    </w:rPr>
                  </w:pPr>
                  <w:r>
                    <w:rPr>
                      <w:rFonts w:hint="eastAsia"/>
                      <w:color w:val="auto"/>
                    </w:rPr>
                    <w:t>1100</w:t>
                  </w:r>
                </w:p>
              </w:tc>
              <w:tc>
                <w:tcPr>
                  <w:tcW w:w="1306" w:type="dxa"/>
                  <w:vAlign w:val="center"/>
                </w:tcPr>
                <w:p>
                  <w:pPr>
                    <w:pStyle w:val="84"/>
                    <w:rPr>
                      <w:color w:val="auto"/>
                    </w:rPr>
                  </w:pPr>
                  <w:r>
                    <w:rPr>
                      <w:color w:val="auto"/>
                    </w:rPr>
                    <w:t>4000</w:t>
                  </w:r>
                </w:p>
              </w:tc>
              <w:tc>
                <w:tcPr>
                  <w:tcW w:w="980" w:type="dxa"/>
                  <w:vAlign w:val="center"/>
                </w:tcPr>
                <w:p>
                  <w:pPr>
                    <w:pStyle w:val="84"/>
                    <w:rPr>
                      <w:color w:val="auto"/>
                    </w:rPr>
                  </w:pPr>
                  <w:r>
                    <w:rPr>
                      <w:rFonts w:hint="eastAsia" w:eastAsia="仿宋"/>
                      <w:color w:val="auto"/>
                    </w:rPr>
                    <w:t>27.5</w:t>
                  </w:r>
                </w:p>
              </w:tc>
              <w:tc>
                <w:tcPr>
                  <w:tcW w:w="1025" w:type="dxa"/>
                  <w:vAlign w:val="center"/>
                </w:tcPr>
                <w:p>
                  <w:pPr>
                    <w:pStyle w:val="84"/>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3" w:type="dxa"/>
                  <w:vAlign w:val="center"/>
                </w:tcPr>
                <w:p>
                  <w:pPr>
                    <w:pStyle w:val="84"/>
                    <w:rPr>
                      <w:snapToGrid w:val="0"/>
                      <w:color w:val="auto"/>
                      <w:kern w:val="0"/>
                      <w:szCs w:val="21"/>
                    </w:rPr>
                  </w:pPr>
                  <w:r>
                    <w:rPr>
                      <w:snapToGrid w:val="0"/>
                      <w:color w:val="auto"/>
                      <w:kern w:val="0"/>
                      <w:szCs w:val="21"/>
                    </w:rPr>
                    <w:t>O</w:t>
                  </w:r>
                  <w:r>
                    <w:rPr>
                      <w:snapToGrid w:val="0"/>
                      <w:color w:val="auto"/>
                      <w:kern w:val="0"/>
                      <w:szCs w:val="21"/>
                      <w:vertAlign w:val="subscript"/>
                    </w:rPr>
                    <w:t>3</w:t>
                  </w:r>
                </w:p>
              </w:tc>
              <w:tc>
                <w:tcPr>
                  <w:tcW w:w="2121" w:type="dxa"/>
                  <w:vAlign w:val="center"/>
                </w:tcPr>
                <w:p>
                  <w:pPr>
                    <w:pStyle w:val="84"/>
                    <w:rPr>
                      <w:color w:val="auto"/>
                    </w:rPr>
                  </w:pPr>
                  <w:r>
                    <w:rPr>
                      <w:color w:val="auto"/>
                    </w:rPr>
                    <w:t>8h平均质量浓度</w:t>
                  </w:r>
                </w:p>
              </w:tc>
              <w:tc>
                <w:tcPr>
                  <w:tcW w:w="1469" w:type="dxa"/>
                  <w:vAlign w:val="center"/>
                </w:tcPr>
                <w:p>
                  <w:pPr>
                    <w:pStyle w:val="84"/>
                    <w:rPr>
                      <w:color w:val="auto"/>
                    </w:rPr>
                  </w:pPr>
                  <w:r>
                    <w:rPr>
                      <w:rFonts w:hint="eastAsia" w:eastAsia="仿宋"/>
                      <w:color w:val="auto"/>
                    </w:rPr>
                    <w:t>94</w:t>
                  </w:r>
                </w:p>
              </w:tc>
              <w:tc>
                <w:tcPr>
                  <w:tcW w:w="1306" w:type="dxa"/>
                  <w:vAlign w:val="center"/>
                </w:tcPr>
                <w:p>
                  <w:pPr>
                    <w:pStyle w:val="84"/>
                    <w:rPr>
                      <w:color w:val="auto"/>
                    </w:rPr>
                  </w:pPr>
                  <w:r>
                    <w:rPr>
                      <w:color w:val="auto"/>
                    </w:rPr>
                    <w:t>160</w:t>
                  </w:r>
                </w:p>
              </w:tc>
              <w:tc>
                <w:tcPr>
                  <w:tcW w:w="980" w:type="dxa"/>
                  <w:vAlign w:val="center"/>
                </w:tcPr>
                <w:p>
                  <w:pPr>
                    <w:pStyle w:val="84"/>
                    <w:rPr>
                      <w:color w:val="auto"/>
                    </w:rPr>
                  </w:pPr>
                  <w:r>
                    <w:rPr>
                      <w:rFonts w:hint="eastAsia" w:eastAsia="仿宋"/>
                      <w:color w:val="auto"/>
                    </w:rPr>
                    <w:t>58.7</w:t>
                  </w:r>
                </w:p>
              </w:tc>
              <w:tc>
                <w:tcPr>
                  <w:tcW w:w="1025" w:type="dxa"/>
                  <w:vAlign w:val="center"/>
                </w:tcPr>
                <w:p>
                  <w:pPr>
                    <w:pStyle w:val="84"/>
                    <w:rPr>
                      <w:color w:val="auto"/>
                    </w:rPr>
                  </w:pPr>
                  <w:r>
                    <w:rPr>
                      <w:color w:val="auto"/>
                    </w:rPr>
                    <w:t>达标</w:t>
                  </w:r>
                </w:p>
              </w:tc>
            </w:tr>
          </w:tbl>
          <w:p>
            <w:pPr>
              <w:pStyle w:val="52"/>
              <w:spacing w:line="500" w:lineRule="exact"/>
              <w:ind w:firstLine="480"/>
              <w:rPr>
                <w:rFonts w:cs="Times New Roman"/>
                <w:color w:val="auto"/>
                <w:sz w:val="24"/>
              </w:rPr>
            </w:pPr>
            <w:bookmarkStart w:id="16" w:name="_Hlk132122655"/>
            <w:r>
              <w:rPr>
                <w:rFonts w:hint="eastAsia" w:cs="Times New Roman"/>
                <w:color w:val="auto"/>
                <w:sz w:val="24"/>
              </w:rPr>
              <w:t>可知</w:t>
            </w:r>
            <w:r>
              <w:rPr>
                <w:rFonts w:cs="Times New Roman"/>
                <w:color w:val="auto"/>
                <w:sz w:val="24"/>
              </w:rPr>
              <w:t>202</w:t>
            </w:r>
            <w:r>
              <w:rPr>
                <w:rFonts w:hint="eastAsia" w:cs="Times New Roman"/>
                <w:color w:val="auto"/>
                <w:sz w:val="24"/>
              </w:rPr>
              <w:t>4</w:t>
            </w:r>
            <w:r>
              <w:rPr>
                <w:rFonts w:cs="Times New Roman"/>
                <w:color w:val="auto"/>
                <w:sz w:val="24"/>
              </w:rPr>
              <w:t>年</w:t>
            </w:r>
            <w:r>
              <w:rPr>
                <w:rFonts w:hint="eastAsia" w:cs="Times New Roman"/>
                <w:color w:val="auto"/>
                <w:sz w:val="24"/>
              </w:rPr>
              <w:t>鹤岗市</w:t>
            </w:r>
            <w:r>
              <w:rPr>
                <w:rFonts w:cs="Times New Roman"/>
                <w:color w:val="auto"/>
                <w:sz w:val="24"/>
              </w:rPr>
              <w:t>环境空气中PM</w:t>
            </w:r>
            <w:r>
              <w:rPr>
                <w:rFonts w:cs="Times New Roman"/>
                <w:color w:val="auto"/>
                <w:sz w:val="24"/>
                <w:vertAlign w:val="subscript"/>
              </w:rPr>
              <w:t>2.5</w:t>
            </w:r>
            <w:r>
              <w:rPr>
                <w:rFonts w:hint="eastAsia" w:cs="Times New Roman"/>
                <w:color w:val="auto"/>
                <w:sz w:val="24"/>
              </w:rPr>
              <w:t>、</w:t>
            </w:r>
            <w:r>
              <w:rPr>
                <w:rFonts w:cs="Times New Roman"/>
                <w:color w:val="auto"/>
                <w:sz w:val="24"/>
              </w:rPr>
              <w:t>PM</w:t>
            </w:r>
            <w:r>
              <w:rPr>
                <w:rFonts w:cs="Times New Roman"/>
                <w:color w:val="auto"/>
                <w:sz w:val="24"/>
                <w:vertAlign w:val="subscript"/>
              </w:rPr>
              <w:t>10</w:t>
            </w:r>
            <w:r>
              <w:rPr>
                <w:rFonts w:cs="Times New Roman"/>
                <w:color w:val="auto"/>
                <w:sz w:val="24"/>
              </w:rPr>
              <w:t>、SO</w:t>
            </w:r>
            <w:r>
              <w:rPr>
                <w:rFonts w:cs="Times New Roman"/>
                <w:color w:val="auto"/>
                <w:sz w:val="24"/>
                <w:vertAlign w:val="subscript"/>
              </w:rPr>
              <w:t>2</w:t>
            </w:r>
            <w:r>
              <w:rPr>
                <w:rFonts w:cs="Times New Roman"/>
                <w:color w:val="auto"/>
                <w:sz w:val="24"/>
              </w:rPr>
              <w:t>、NO</w:t>
            </w:r>
            <w:r>
              <w:rPr>
                <w:rFonts w:cs="Times New Roman"/>
                <w:color w:val="auto"/>
                <w:sz w:val="24"/>
                <w:vertAlign w:val="subscript"/>
              </w:rPr>
              <w:t>2</w:t>
            </w:r>
            <w:r>
              <w:rPr>
                <w:rFonts w:cs="Times New Roman"/>
                <w:color w:val="auto"/>
                <w:sz w:val="24"/>
              </w:rPr>
              <w:t>、CO、O</w:t>
            </w:r>
            <w:r>
              <w:rPr>
                <w:rFonts w:cs="Times New Roman"/>
                <w:color w:val="auto"/>
                <w:sz w:val="24"/>
                <w:vertAlign w:val="subscript"/>
              </w:rPr>
              <w:t>3</w:t>
            </w:r>
            <w:r>
              <w:rPr>
                <w:rFonts w:hint="eastAsia" w:cs="Times New Roman"/>
                <w:color w:val="auto"/>
                <w:sz w:val="24"/>
              </w:rPr>
              <w:t>现状浓度</w:t>
            </w:r>
            <w:r>
              <w:rPr>
                <w:rFonts w:cs="Times New Roman"/>
                <w:color w:val="auto"/>
                <w:sz w:val="24"/>
              </w:rPr>
              <w:t>均满足《环境空气质量标准》（GB3095-2012）及修改单中二级标准，本项目所在区域为环境质量达标区。</w:t>
            </w:r>
          </w:p>
          <w:p>
            <w:pPr>
              <w:pStyle w:val="52"/>
              <w:spacing w:line="500" w:lineRule="exact"/>
              <w:ind w:firstLine="480"/>
              <w:rPr>
                <w:rFonts w:cs="Times New Roman"/>
                <w:color w:val="auto"/>
                <w:sz w:val="24"/>
              </w:rPr>
            </w:pPr>
            <w:r>
              <w:rPr>
                <w:rFonts w:hint="eastAsia" w:cs="Times New Roman"/>
                <w:color w:val="auto"/>
                <w:sz w:val="24"/>
              </w:rPr>
              <w:t>（2）其他污染物</w:t>
            </w:r>
          </w:p>
          <w:p>
            <w:pPr>
              <w:pStyle w:val="52"/>
              <w:spacing w:line="500" w:lineRule="exact"/>
              <w:ind w:firstLine="480"/>
              <w:rPr>
                <w:rFonts w:cs="Times New Roman"/>
                <w:color w:val="auto"/>
                <w:sz w:val="24"/>
              </w:rPr>
            </w:pPr>
            <w:r>
              <w:rPr>
                <w:rFonts w:hint="eastAsia" w:cs="Times New Roman"/>
                <w:color w:val="auto"/>
                <w:sz w:val="24"/>
              </w:rPr>
              <w:t>根据项目特点，项目设置1个环境空气现状监测点，监测数据由黑龙江克巽检测技术有限公司于2024年9月28日至9月30日进行现场采样及数据检测。</w:t>
            </w:r>
          </w:p>
          <w:p>
            <w:pPr>
              <w:pStyle w:val="52"/>
              <w:spacing w:line="500" w:lineRule="exact"/>
              <w:ind w:firstLine="480"/>
              <w:rPr>
                <w:rFonts w:cs="Times New Roman"/>
                <w:color w:val="auto"/>
                <w:sz w:val="24"/>
              </w:rPr>
            </w:pPr>
          </w:p>
          <w:p>
            <w:pPr>
              <w:pStyle w:val="52"/>
              <w:spacing w:line="500" w:lineRule="exact"/>
              <w:ind w:firstLine="480"/>
              <w:rPr>
                <w:rFonts w:cs="Times New Roman"/>
                <w:color w:val="auto"/>
                <w:sz w:val="24"/>
              </w:rPr>
            </w:pPr>
          </w:p>
          <w:p>
            <w:pPr>
              <w:pStyle w:val="52"/>
              <w:spacing w:line="500" w:lineRule="exact"/>
              <w:ind w:firstLine="480"/>
              <w:rPr>
                <w:rFonts w:cs="Times New Roman"/>
                <w:color w:val="auto"/>
                <w:sz w:val="24"/>
              </w:rPr>
            </w:pPr>
          </w:p>
          <w:p>
            <w:pPr>
              <w:pStyle w:val="52"/>
              <w:spacing w:line="500" w:lineRule="exact"/>
              <w:ind w:firstLine="480"/>
              <w:rPr>
                <w:rFonts w:cs="Times New Roman"/>
                <w:color w:val="auto"/>
                <w:sz w:val="24"/>
              </w:rPr>
            </w:pPr>
          </w:p>
          <w:p>
            <w:pPr>
              <w:pStyle w:val="52"/>
              <w:spacing w:line="500" w:lineRule="exact"/>
              <w:ind w:firstLine="420"/>
              <w:rPr>
                <w:rFonts w:cs="Times New Roman"/>
                <w:color w:val="auto"/>
                <w:sz w:val="24"/>
              </w:rPr>
            </w:pPr>
            <w:r>
              <w:rPr>
                <w:color w:val="auto"/>
              </w:rPr>
              <w:drawing>
                <wp:anchor distT="0" distB="0" distL="114300" distR="114300" simplePos="0" relativeHeight="251666432" behindDoc="0" locked="0" layoutInCell="1" allowOverlap="1">
                  <wp:simplePos x="0" y="0"/>
                  <wp:positionH relativeFrom="column">
                    <wp:posOffset>-27940</wp:posOffset>
                  </wp:positionH>
                  <wp:positionV relativeFrom="paragraph">
                    <wp:posOffset>838835</wp:posOffset>
                  </wp:positionV>
                  <wp:extent cx="5286375" cy="3354705"/>
                  <wp:effectExtent l="0" t="0" r="9525" b="0"/>
                  <wp:wrapSquare wrapText="bothSides"/>
                  <wp:docPr id="19350199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19952" name="图片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286375" cy="3354705"/>
                          </a:xfrm>
                          <a:prstGeom prst="rect">
                            <a:avLst/>
                          </a:prstGeom>
                        </pic:spPr>
                      </pic:pic>
                    </a:graphicData>
                  </a:graphic>
                </wp:anchor>
              </w:drawing>
            </w:r>
            <w:r>
              <w:rPr>
                <w:rFonts w:hint="eastAsia" w:cs="Times New Roman"/>
                <w:color w:val="auto"/>
                <w:sz w:val="24"/>
              </w:rPr>
              <w:t>监测点位为厂区下风向，监测点布置与本项目距离及方位见下表，监测点位布置图见下图。</w:t>
            </w:r>
          </w:p>
          <w:bookmarkEnd w:id="16"/>
          <w:p>
            <w:pPr>
              <w:pStyle w:val="46"/>
              <w:spacing w:line="400" w:lineRule="atLeast"/>
              <w:rPr>
                <w:rFonts w:eastAsia="宋体" w:cs="Times New Roman"/>
                <w:bCs/>
                <w:szCs w:val="24"/>
              </w:rPr>
            </w:pPr>
            <w:r>
              <w:rPr>
                <w:rFonts w:eastAsia="宋体" w:cs="Times New Roman"/>
                <w:bCs/>
                <w:szCs w:val="24"/>
              </w:rPr>
              <w:t>图3-</w:t>
            </w:r>
            <w:r>
              <w:rPr>
                <w:rFonts w:hint="eastAsia" w:eastAsia="宋体" w:cs="Times New Roman"/>
                <w:bCs/>
                <w:szCs w:val="24"/>
              </w:rPr>
              <w:t xml:space="preserve">1 </w:t>
            </w:r>
            <w:r>
              <w:rPr>
                <w:rFonts w:eastAsia="宋体" w:cs="Times New Roman"/>
                <w:bCs/>
                <w:szCs w:val="24"/>
              </w:rPr>
              <w:t>环境空气监测</w:t>
            </w:r>
            <w:r>
              <w:rPr>
                <w:rFonts w:hint="eastAsia" w:eastAsia="宋体" w:cs="Times New Roman"/>
                <w:bCs/>
                <w:szCs w:val="24"/>
              </w:rPr>
              <w:t>布点</w:t>
            </w:r>
            <w:r>
              <w:rPr>
                <w:rFonts w:eastAsia="宋体" w:cs="Times New Roman"/>
                <w:bCs/>
                <w:szCs w:val="24"/>
              </w:rPr>
              <w:t>图</w:t>
            </w:r>
          </w:p>
          <w:p>
            <w:pPr>
              <w:pStyle w:val="46"/>
              <w:adjustRightInd/>
              <w:snapToGrid/>
              <w:rPr>
                <w:rFonts w:eastAsia="宋体" w:cs="Times New Roman"/>
                <w:bCs/>
                <w:szCs w:val="24"/>
              </w:rPr>
            </w:pPr>
            <w:r>
              <w:rPr>
                <w:rFonts w:eastAsia="宋体" w:cs="Times New Roman"/>
                <w:bCs/>
                <w:szCs w:val="24"/>
              </w:rPr>
              <w:t>表3-2 其它补充污染物监测点位基础信息</w:t>
            </w:r>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8"/>
              <w:gridCol w:w="1424"/>
              <w:gridCol w:w="1319"/>
              <w:gridCol w:w="863"/>
              <w:gridCol w:w="1652"/>
              <w:gridCol w:w="823"/>
              <w:gridCol w:w="9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1" w:type="pct"/>
                  <w:vMerge w:val="restart"/>
                  <w:vAlign w:val="center"/>
                </w:tcPr>
                <w:p>
                  <w:pPr>
                    <w:jc w:val="center"/>
                    <w:rPr>
                      <w:szCs w:val="21"/>
                    </w:rPr>
                  </w:pPr>
                  <w:r>
                    <w:rPr>
                      <w:szCs w:val="21"/>
                    </w:rPr>
                    <w:t>监测点名称</w:t>
                  </w:r>
                </w:p>
              </w:tc>
              <w:tc>
                <w:tcPr>
                  <w:tcW w:w="1315" w:type="pct"/>
                  <w:gridSpan w:val="2"/>
                  <w:vAlign w:val="center"/>
                </w:tcPr>
                <w:p>
                  <w:pPr>
                    <w:jc w:val="center"/>
                    <w:rPr>
                      <w:szCs w:val="21"/>
                    </w:rPr>
                  </w:pPr>
                  <w:r>
                    <w:rPr>
                      <w:szCs w:val="21"/>
                    </w:rPr>
                    <w:t>监测点坐标/°</w:t>
                  </w:r>
                </w:p>
              </w:tc>
              <w:tc>
                <w:tcPr>
                  <w:tcW w:w="622" w:type="pct"/>
                  <w:vMerge w:val="restart"/>
                  <w:vAlign w:val="center"/>
                </w:tcPr>
                <w:p>
                  <w:pPr>
                    <w:jc w:val="center"/>
                    <w:rPr>
                      <w:szCs w:val="21"/>
                    </w:rPr>
                  </w:pPr>
                  <w:r>
                    <w:rPr>
                      <w:szCs w:val="21"/>
                    </w:rPr>
                    <w:t>监测</w:t>
                  </w:r>
                </w:p>
                <w:p>
                  <w:pPr>
                    <w:jc w:val="center"/>
                    <w:rPr>
                      <w:szCs w:val="21"/>
                    </w:rPr>
                  </w:pPr>
                  <w:r>
                    <w:rPr>
                      <w:szCs w:val="21"/>
                    </w:rPr>
                    <w:t>因子</w:t>
                  </w:r>
                </w:p>
              </w:tc>
              <w:tc>
                <w:tcPr>
                  <w:tcW w:w="1117" w:type="pct"/>
                  <w:vMerge w:val="restart"/>
                  <w:vAlign w:val="center"/>
                </w:tcPr>
                <w:p>
                  <w:pPr>
                    <w:jc w:val="center"/>
                    <w:rPr>
                      <w:szCs w:val="21"/>
                    </w:rPr>
                  </w:pPr>
                  <w:r>
                    <w:rPr>
                      <w:szCs w:val="21"/>
                    </w:rPr>
                    <w:t>监测时段</w:t>
                  </w:r>
                </w:p>
              </w:tc>
              <w:tc>
                <w:tcPr>
                  <w:tcW w:w="597" w:type="pct"/>
                  <w:vMerge w:val="restart"/>
                  <w:vAlign w:val="center"/>
                </w:tcPr>
                <w:p>
                  <w:pPr>
                    <w:jc w:val="center"/>
                    <w:rPr>
                      <w:szCs w:val="21"/>
                    </w:rPr>
                  </w:pPr>
                  <w:r>
                    <w:rPr>
                      <w:szCs w:val="21"/>
                    </w:rPr>
                    <w:t>相对厂址方位</w:t>
                  </w:r>
                </w:p>
              </w:tc>
              <w:tc>
                <w:tcPr>
                  <w:tcW w:w="697" w:type="pct"/>
                  <w:vMerge w:val="restart"/>
                  <w:vAlign w:val="center"/>
                </w:tcPr>
                <w:p>
                  <w:pPr>
                    <w:jc w:val="center"/>
                    <w:rPr>
                      <w:szCs w:val="21"/>
                    </w:rPr>
                  </w:pPr>
                  <w:r>
                    <w:rPr>
                      <w:szCs w:val="21"/>
                    </w:rPr>
                    <w:t>相对厂界距离/m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1" w:type="pct"/>
                  <w:vMerge w:val="continue"/>
                  <w:vAlign w:val="center"/>
                </w:tcPr>
                <w:p>
                  <w:pPr>
                    <w:jc w:val="center"/>
                    <w:rPr>
                      <w:szCs w:val="21"/>
                    </w:rPr>
                  </w:pPr>
                </w:p>
              </w:tc>
              <w:tc>
                <w:tcPr>
                  <w:tcW w:w="745" w:type="pct"/>
                  <w:vAlign w:val="center"/>
                </w:tcPr>
                <w:p>
                  <w:pPr>
                    <w:jc w:val="center"/>
                    <w:rPr>
                      <w:szCs w:val="21"/>
                    </w:rPr>
                  </w:pPr>
                  <w:r>
                    <w:rPr>
                      <w:szCs w:val="21"/>
                    </w:rPr>
                    <w:t>东经</w:t>
                  </w:r>
                </w:p>
              </w:tc>
              <w:tc>
                <w:tcPr>
                  <w:tcW w:w="570" w:type="pct"/>
                  <w:vAlign w:val="center"/>
                </w:tcPr>
                <w:p>
                  <w:pPr>
                    <w:jc w:val="center"/>
                    <w:rPr>
                      <w:szCs w:val="21"/>
                    </w:rPr>
                  </w:pPr>
                  <w:r>
                    <w:rPr>
                      <w:szCs w:val="21"/>
                    </w:rPr>
                    <w:t>北纬</w:t>
                  </w:r>
                </w:p>
              </w:tc>
              <w:tc>
                <w:tcPr>
                  <w:tcW w:w="622" w:type="pct"/>
                  <w:vMerge w:val="continue"/>
                  <w:vAlign w:val="center"/>
                </w:tcPr>
                <w:p>
                  <w:pPr>
                    <w:jc w:val="center"/>
                    <w:rPr>
                      <w:szCs w:val="21"/>
                    </w:rPr>
                  </w:pPr>
                </w:p>
              </w:tc>
              <w:tc>
                <w:tcPr>
                  <w:tcW w:w="1117" w:type="pct"/>
                  <w:vMerge w:val="continue"/>
                  <w:vAlign w:val="center"/>
                </w:tcPr>
                <w:p>
                  <w:pPr>
                    <w:jc w:val="center"/>
                    <w:rPr>
                      <w:szCs w:val="21"/>
                    </w:rPr>
                  </w:pPr>
                </w:p>
              </w:tc>
              <w:tc>
                <w:tcPr>
                  <w:tcW w:w="597" w:type="pct"/>
                  <w:vMerge w:val="continue"/>
                  <w:vAlign w:val="center"/>
                </w:tcPr>
                <w:p>
                  <w:pPr>
                    <w:jc w:val="center"/>
                    <w:rPr>
                      <w:szCs w:val="21"/>
                    </w:rPr>
                  </w:pPr>
                </w:p>
              </w:tc>
              <w:tc>
                <w:tcPr>
                  <w:tcW w:w="697" w:type="pct"/>
                  <w:vMerge w:val="continue"/>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1" w:type="pct"/>
                  <w:vAlign w:val="center"/>
                </w:tcPr>
                <w:p>
                  <w:pPr>
                    <w:jc w:val="center"/>
                    <w:rPr>
                      <w:szCs w:val="21"/>
                    </w:rPr>
                  </w:pPr>
                  <w:r>
                    <w:rPr>
                      <w:rFonts w:hint="eastAsia"/>
                      <w:szCs w:val="21"/>
                    </w:rPr>
                    <w:t>厂址当季主导风向下风向</w:t>
                  </w:r>
                </w:p>
              </w:tc>
              <w:tc>
                <w:tcPr>
                  <w:tcW w:w="745" w:type="pct"/>
                  <w:vAlign w:val="center"/>
                </w:tcPr>
                <w:p>
                  <w:pPr>
                    <w:jc w:val="center"/>
                    <w:rPr>
                      <w:szCs w:val="21"/>
                    </w:rPr>
                  </w:pPr>
                  <w:r>
                    <w:rPr>
                      <w:szCs w:val="21"/>
                    </w:rPr>
                    <w:t>130.26470846</w:t>
                  </w:r>
                </w:p>
              </w:tc>
              <w:tc>
                <w:tcPr>
                  <w:tcW w:w="570" w:type="pct"/>
                  <w:vAlign w:val="center"/>
                </w:tcPr>
                <w:p>
                  <w:pPr>
                    <w:jc w:val="center"/>
                    <w:rPr>
                      <w:szCs w:val="21"/>
                    </w:rPr>
                  </w:pPr>
                  <w:r>
                    <w:rPr>
                      <w:szCs w:val="21"/>
                    </w:rPr>
                    <w:t>47.18869834</w:t>
                  </w:r>
                </w:p>
              </w:tc>
              <w:tc>
                <w:tcPr>
                  <w:tcW w:w="622" w:type="pct"/>
                  <w:vAlign w:val="center"/>
                </w:tcPr>
                <w:p>
                  <w:pPr>
                    <w:jc w:val="center"/>
                    <w:rPr>
                      <w:szCs w:val="21"/>
                    </w:rPr>
                  </w:pPr>
                  <w:r>
                    <w:rPr>
                      <w:szCs w:val="21"/>
                    </w:rPr>
                    <w:t>TSP</w:t>
                  </w:r>
                </w:p>
              </w:tc>
              <w:tc>
                <w:tcPr>
                  <w:tcW w:w="1117" w:type="pct"/>
                  <w:vAlign w:val="center"/>
                </w:tcPr>
                <w:p>
                  <w:pPr>
                    <w:jc w:val="center"/>
                    <w:rPr>
                      <w:szCs w:val="21"/>
                    </w:rPr>
                  </w:pPr>
                  <w:r>
                    <w:rPr>
                      <w:rFonts w:hint="eastAsia"/>
                      <w:szCs w:val="21"/>
                    </w:rPr>
                    <w:t>2024年9月28日至9月30日</w:t>
                  </w:r>
                </w:p>
              </w:tc>
              <w:tc>
                <w:tcPr>
                  <w:tcW w:w="597" w:type="pct"/>
                  <w:vAlign w:val="center"/>
                </w:tcPr>
                <w:p>
                  <w:pPr>
                    <w:jc w:val="center"/>
                    <w:rPr>
                      <w:szCs w:val="21"/>
                    </w:rPr>
                  </w:pPr>
                  <w:r>
                    <w:rPr>
                      <w:rFonts w:hint="eastAsia"/>
                      <w:szCs w:val="21"/>
                    </w:rPr>
                    <w:t>E</w:t>
                  </w:r>
                </w:p>
              </w:tc>
              <w:tc>
                <w:tcPr>
                  <w:tcW w:w="697" w:type="pct"/>
                  <w:vAlign w:val="center"/>
                </w:tcPr>
                <w:p>
                  <w:pPr>
                    <w:jc w:val="center"/>
                    <w:rPr>
                      <w:szCs w:val="21"/>
                    </w:rPr>
                  </w:pPr>
                  <w:r>
                    <w:rPr>
                      <w:rFonts w:hint="eastAsia"/>
                      <w:szCs w:val="21"/>
                    </w:rPr>
                    <w:t>100</w:t>
                  </w:r>
                </w:p>
              </w:tc>
            </w:tr>
          </w:tbl>
          <w:p>
            <w:pPr>
              <w:pStyle w:val="46"/>
              <w:adjustRightInd/>
              <w:snapToGrid/>
              <w:rPr>
                <w:rFonts w:eastAsia="宋体" w:cs="Times New Roman"/>
                <w:bCs/>
                <w:szCs w:val="24"/>
              </w:rPr>
            </w:pPr>
            <w:r>
              <w:rPr>
                <w:rFonts w:eastAsia="宋体" w:cs="Times New Roman"/>
                <w:bCs/>
                <w:szCs w:val="24"/>
              </w:rPr>
              <w:t>表3-3</w:t>
            </w:r>
            <w:r>
              <w:rPr>
                <w:rFonts w:hint="eastAsia" w:eastAsia="宋体" w:cs="Times New Roman"/>
                <w:bCs/>
                <w:szCs w:val="24"/>
              </w:rPr>
              <w:t xml:space="preserve"> </w:t>
            </w:r>
            <w:r>
              <w:rPr>
                <w:rFonts w:eastAsia="宋体" w:cs="Times New Roman"/>
                <w:bCs/>
                <w:szCs w:val="24"/>
              </w:rPr>
              <w:t>大气其他污染物环境质量现状（监测结果）表（单位：mg/m</w:t>
            </w:r>
            <w:r>
              <w:rPr>
                <w:rFonts w:eastAsia="宋体" w:cs="Times New Roman"/>
                <w:bCs/>
                <w:szCs w:val="24"/>
                <w:vertAlign w:val="superscript"/>
              </w:rPr>
              <w:t>3</w:t>
            </w:r>
            <w:r>
              <w:rPr>
                <w:rFonts w:eastAsia="宋体" w:cs="Times New Roman"/>
                <w:bCs/>
                <w:szCs w:val="24"/>
              </w:rPr>
              <w:t>）</w:t>
            </w:r>
          </w:p>
          <w:tbl>
            <w:tblPr>
              <w:tblStyle w:val="20"/>
              <w:tblW w:w="498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422"/>
              <w:gridCol w:w="1098"/>
              <w:gridCol w:w="639"/>
              <w:gridCol w:w="569"/>
              <w:gridCol w:w="1410"/>
              <w:gridCol w:w="1217"/>
              <w:gridCol w:w="792"/>
              <w:gridCol w:w="79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95" w:type="pct"/>
                  <w:vMerge w:val="restart"/>
                  <w:vAlign w:val="center"/>
                </w:tcPr>
                <w:p>
                  <w:pPr>
                    <w:pStyle w:val="145"/>
                    <w:adjustRightInd/>
                    <w:snapToGrid/>
                    <w:spacing w:beforeLines="0" w:afterLines="0" w:line="240" w:lineRule="auto"/>
                    <w:rPr>
                      <w:szCs w:val="21"/>
                    </w:rPr>
                  </w:pPr>
                  <w:r>
                    <w:rPr>
                      <w:szCs w:val="21"/>
                    </w:rPr>
                    <w:t>监测点位</w:t>
                  </w:r>
                </w:p>
              </w:tc>
              <w:tc>
                <w:tcPr>
                  <w:tcW w:w="691" w:type="pct"/>
                  <w:vMerge w:val="restart"/>
                  <w:vAlign w:val="center"/>
                </w:tcPr>
                <w:p>
                  <w:pPr>
                    <w:pStyle w:val="145"/>
                    <w:adjustRightInd/>
                    <w:snapToGrid/>
                    <w:spacing w:beforeLines="0" w:afterLines="0" w:line="240" w:lineRule="auto"/>
                    <w:rPr>
                      <w:szCs w:val="21"/>
                    </w:rPr>
                  </w:pPr>
                  <w:r>
                    <w:rPr>
                      <w:szCs w:val="21"/>
                    </w:rPr>
                    <w:t>污染物</w:t>
                  </w:r>
                </w:p>
              </w:tc>
              <w:tc>
                <w:tcPr>
                  <w:tcW w:w="402" w:type="pct"/>
                  <w:vMerge w:val="restart"/>
                  <w:vAlign w:val="center"/>
                </w:tcPr>
                <w:p>
                  <w:pPr>
                    <w:pStyle w:val="145"/>
                    <w:adjustRightInd/>
                    <w:snapToGrid/>
                    <w:spacing w:beforeLines="0" w:afterLines="0" w:line="240" w:lineRule="auto"/>
                    <w:rPr>
                      <w:szCs w:val="21"/>
                    </w:rPr>
                  </w:pPr>
                  <w:r>
                    <w:rPr>
                      <w:szCs w:val="21"/>
                    </w:rPr>
                    <w:t>平均时间</w:t>
                  </w:r>
                </w:p>
              </w:tc>
              <w:tc>
                <w:tcPr>
                  <w:tcW w:w="358" w:type="pct"/>
                  <w:vMerge w:val="restart"/>
                  <w:vAlign w:val="center"/>
                </w:tcPr>
                <w:p>
                  <w:pPr>
                    <w:pStyle w:val="145"/>
                    <w:adjustRightInd/>
                    <w:snapToGrid/>
                    <w:spacing w:beforeLines="0" w:afterLines="0" w:line="240" w:lineRule="auto"/>
                    <w:rPr>
                      <w:szCs w:val="21"/>
                    </w:rPr>
                  </w:pPr>
                  <w:r>
                    <w:rPr>
                      <w:szCs w:val="21"/>
                    </w:rPr>
                    <w:t>评价标准</w:t>
                  </w:r>
                </w:p>
              </w:tc>
              <w:tc>
                <w:tcPr>
                  <w:tcW w:w="887" w:type="pct"/>
                  <w:vMerge w:val="restart"/>
                  <w:vAlign w:val="center"/>
                </w:tcPr>
                <w:p>
                  <w:pPr>
                    <w:pStyle w:val="145"/>
                    <w:adjustRightInd/>
                    <w:snapToGrid/>
                    <w:spacing w:beforeLines="0" w:afterLines="0" w:line="240" w:lineRule="auto"/>
                    <w:rPr>
                      <w:szCs w:val="21"/>
                    </w:rPr>
                  </w:pPr>
                  <w:r>
                    <w:rPr>
                      <w:szCs w:val="21"/>
                    </w:rPr>
                    <w:t>监测浓度范围</w:t>
                  </w:r>
                </w:p>
              </w:tc>
              <w:tc>
                <w:tcPr>
                  <w:tcW w:w="766" w:type="pct"/>
                  <w:vMerge w:val="restart"/>
                  <w:vAlign w:val="center"/>
                </w:tcPr>
                <w:p>
                  <w:pPr>
                    <w:pStyle w:val="145"/>
                    <w:adjustRightInd/>
                    <w:snapToGrid/>
                    <w:spacing w:beforeLines="0" w:afterLines="0" w:line="240" w:lineRule="auto"/>
                    <w:rPr>
                      <w:szCs w:val="21"/>
                    </w:rPr>
                  </w:pPr>
                  <w:r>
                    <w:rPr>
                      <w:szCs w:val="21"/>
                    </w:rPr>
                    <w:t>最大浓度占标率%</w:t>
                  </w:r>
                </w:p>
              </w:tc>
              <w:tc>
                <w:tcPr>
                  <w:tcW w:w="498" w:type="pct"/>
                  <w:vMerge w:val="restart"/>
                  <w:vAlign w:val="center"/>
                </w:tcPr>
                <w:p>
                  <w:pPr>
                    <w:pStyle w:val="145"/>
                    <w:adjustRightInd/>
                    <w:snapToGrid/>
                    <w:spacing w:beforeLines="0" w:afterLines="0" w:line="240" w:lineRule="auto"/>
                    <w:rPr>
                      <w:szCs w:val="21"/>
                    </w:rPr>
                  </w:pPr>
                  <w:r>
                    <w:rPr>
                      <w:szCs w:val="21"/>
                    </w:rPr>
                    <w:t>超标率%</w:t>
                  </w:r>
                </w:p>
              </w:tc>
              <w:tc>
                <w:tcPr>
                  <w:tcW w:w="500" w:type="pct"/>
                  <w:vMerge w:val="restart"/>
                  <w:vAlign w:val="center"/>
                </w:tcPr>
                <w:p>
                  <w:pPr>
                    <w:pStyle w:val="145"/>
                    <w:adjustRightInd/>
                    <w:snapToGrid/>
                    <w:spacing w:beforeLines="0" w:afterLines="0" w:line="240" w:lineRule="auto"/>
                    <w:rPr>
                      <w:szCs w:val="21"/>
                    </w:rPr>
                  </w:pPr>
                  <w:r>
                    <w:rPr>
                      <w:szCs w:val="21"/>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95" w:type="pct"/>
                  <w:vMerge w:val="continue"/>
                  <w:vAlign w:val="center"/>
                </w:tcPr>
                <w:p>
                  <w:pPr>
                    <w:pStyle w:val="145"/>
                    <w:adjustRightInd/>
                    <w:snapToGrid/>
                    <w:spacing w:beforeLines="0" w:afterLines="0" w:line="240" w:lineRule="auto"/>
                    <w:rPr>
                      <w:szCs w:val="21"/>
                    </w:rPr>
                  </w:pPr>
                </w:p>
              </w:tc>
              <w:tc>
                <w:tcPr>
                  <w:tcW w:w="691" w:type="pct"/>
                  <w:vMerge w:val="continue"/>
                  <w:vAlign w:val="center"/>
                </w:tcPr>
                <w:p>
                  <w:pPr>
                    <w:pStyle w:val="145"/>
                    <w:adjustRightInd/>
                    <w:snapToGrid/>
                    <w:spacing w:beforeLines="0" w:afterLines="0" w:line="240" w:lineRule="auto"/>
                    <w:rPr>
                      <w:szCs w:val="21"/>
                    </w:rPr>
                  </w:pPr>
                </w:p>
              </w:tc>
              <w:tc>
                <w:tcPr>
                  <w:tcW w:w="402" w:type="pct"/>
                  <w:vMerge w:val="continue"/>
                  <w:vAlign w:val="center"/>
                </w:tcPr>
                <w:p>
                  <w:pPr>
                    <w:pStyle w:val="145"/>
                    <w:adjustRightInd/>
                    <w:snapToGrid/>
                    <w:spacing w:beforeLines="0" w:afterLines="0" w:line="240" w:lineRule="auto"/>
                    <w:rPr>
                      <w:szCs w:val="21"/>
                    </w:rPr>
                  </w:pPr>
                </w:p>
              </w:tc>
              <w:tc>
                <w:tcPr>
                  <w:tcW w:w="358" w:type="pct"/>
                  <w:vMerge w:val="continue"/>
                  <w:vAlign w:val="center"/>
                </w:tcPr>
                <w:p>
                  <w:pPr>
                    <w:pStyle w:val="145"/>
                    <w:adjustRightInd/>
                    <w:snapToGrid/>
                    <w:spacing w:beforeLines="0" w:afterLines="0" w:line="240" w:lineRule="auto"/>
                    <w:rPr>
                      <w:szCs w:val="21"/>
                    </w:rPr>
                  </w:pPr>
                </w:p>
              </w:tc>
              <w:tc>
                <w:tcPr>
                  <w:tcW w:w="887" w:type="pct"/>
                  <w:vMerge w:val="continue"/>
                  <w:vAlign w:val="center"/>
                </w:tcPr>
                <w:p>
                  <w:pPr>
                    <w:pStyle w:val="145"/>
                    <w:adjustRightInd/>
                    <w:snapToGrid/>
                    <w:spacing w:beforeLines="0" w:afterLines="0" w:line="240" w:lineRule="auto"/>
                    <w:rPr>
                      <w:szCs w:val="21"/>
                    </w:rPr>
                  </w:pPr>
                </w:p>
              </w:tc>
              <w:tc>
                <w:tcPr>
                  <w:tcW w:w="766" w:type="pct"/>
                  <w:vMerge w:val="continue"/>
                  <w:vAlign w:val="center"/>
                </w:tcPr>
                <w:p>
                  <w:pPr>
                    <w:pStyle w:val="145"/>
                    <w:adjustRightInd/>
                    <w:snapToGrid/>
                    <w:spacing w:beforeLines="0" w:afterLines="0" w:line="240" w:lineRule="auto"/>
                    <w:rPr>
                      <w:szCs w:val="21"/>
                    </w:rPr>
                  </w:pPr>
                </w:p>
              </w:tc>
              <w:tc>
                <w:tcPr>
                  <w:tcW w:w="498" w:type="pct"/>
                  <w:vMerge w:val="continue"/>
                  <w:vAlign w:val="center"/>
                </w:tcPr>
                <w:p>
                  <w:pPr>
                    <w:pStyle w:val="145"/>
                    <w:adjustRightInd/>
                    <w:snapToGrid/>
                    <w:spacing w:beforeLines="0" w:afterLines="0" w:line="240" w:lineRule="auto"/>
                    <w:rPr>
                      <w:szCs w:val="21"/>
                    </w:rPr>
                  </w:pPr>
                </w:p>
              </w:tc>
              <w:tc>
                <w:tcPr>
                  <w:tcW w:w="500" w:type="pct"/>
                  <w:vMerge w:val="continue"/>
                  <w:vAlign w:val="center"/>
                </w:tcPr>
                <w:p>
                  <w:pPr>
                    <w:pStyle w:val="145"/>
                    <w:adjustRightInd/>
                    <w:snapToGrid/>
                    <w:spacing w:beforeLines="0" w:afterLines="0" w:line="240" w:lineRule="auto"/>
                    <w:rPr>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95" w:type="pct"/>
                  <w:vAlign w:val="center"/>
                </w:tcPr>
                <w:p>
                  <w:pPr>
                    <w:pStyle w:val="145"/>
                    <w:adjustRightInd/>
                    <w:snapToGrid/>
                    <w:spacing w:beforeLines="0" w:afterLines="0" w:line="240" w:lineRule="auto"/>
                    <w:rPr>
                      <w:szCs w:val="21"/>
                    </w:rPr>
                  </w:pPr>
                  <w:r>
                    <w:rPr>
                      <w:rFonts w:hint="eastAsia"/>
                      <w:szCs w:val="21"/>
                    </w:rPr>
                    <w:t>厂址当季主导风向下风向</w:t>
                  </w:r>
                </w:p>
              </w:tc>
              <w:tc>
                <w:tcPr>
                  <w:tcW w:w="691" w:type="pct"/>
                  <w:vAlign w:val="center"/>
                </w:tcPr>
                <w:p>
                  <w:pPr>
                    <w:pStyle w:val="145"/>
                    <w:adjustRightInd/>
                    <w:snapToGrid/>
                    <w:spacing w:beforeLines="0" w:afterLines="0" w:line="240" w:lineRule="auto"/>
                    <w:rPr>
                      <w:szCs w:val="21"/>
                    </w:rPr>
                  </w:pPr>
                  <w:r>
                    <w:rPr>
                      <w:szCs w:val="21"/>
                    </w:rPr>
                    <w:t>TSP</w:t>
                  </w:r>
                </w:p>
              </w:tc>
              <w:tc>
                <w:tcPr>
                  <w:tcW w:w="402" w:type="pct"/>
                  <w:vAlign w:val="center"/>
                </w:tcPr>
                <w:p>
                  <w:pPr>
                    <w:pStyle w:val="145"/>
                    <w:adjustRightInd/>
                    <w:snapToGrid/>
                    <w:spacing w:beforeLines="0" w:afterLines="0" w:line="240" w:lineRule="auto"/>
                    <w:rPr>
                      <w:szCs w:val="21"/>
                    </w:rPr>
                  </w:pPr>
                  <w:r>
                    <w:rPr>
                      <w:szCs w:val="21"/>
                    </w:rPr>
                    <w:t>24h</w:t>
                  </w:r>
                </w:p>
              </w:tc>
              <w:tc>
                <w:tcPr>
                  <w:tcW w:w="358" w:type="pct"/>
                  <w:vAlign w:val="center"/>
                </w:tcPr>
                <w:p>
                  <w:pPr>
                    <w:pStyle w:val="145"/>
                    <w:adjustRightInd/>
                    <w:snapToGrid/>
                    <w:spacing w:beforeLines="0" w:afterLines="0" w:line="240" w:lineRule="auto"/>
                    <w:rPr>
                      <w:szCs w:val="21"/>
                    </w:rPr>
                  </w:pPr>
                  <w:r>
                    <w:rPr>
                      <w:szCs w:val="21"/>
                    </w:rPr>
                    <w:t>0.3</w:t>
                  </w:r>
                </w:p>
              </w:tc>
              <w:tc>
                <w:tcPr>
                  <w:tcW w:w="887" w:type="pct"/>
                  <w:vAlign w:val="center"/>
                </w:tcPr>
                <w:p>
                  <w:pPr>
                    <w:jc w:val="center"/>
                    <w:rPr>
                      <w:szCs w:val="21"/>
                    </w:rPr>
                  </w:pPr>
                  <w:r>
                    <w:rPr>
                      <w:rFonts w:hint="eastAsia"/>
                      <w:szCs w:val="21"/>
                    </w:rPr>
                    <w:t>0.203~0.211</w:t>
                  </w:r>
                </w:p>
              </w:tc>
              <w:tc>
                <w:tcPr>
                  <w:tcW w:w="766" w:type="pct"/>
                  <w:vAlign w:val="center"/>
                </w:tcPr>
                <w:p>
                  <w:pPr>
                    <w:pStyle w:val="145"/>
                    <w:adjustRightInd/>
                    <w:snapToGrid/>
                    <w:spacing w:beforeLines="0" w:afterLines="0" w:line="240" w:lineRule="auto"/>
                    <w:rPr>
                      <w:szCs w:val="21"/>
                    </w:rPr>
                  </w:pPr>
                  <w:r>
                    <w:rPr>
                      <w:rFonts w:hint="eastAsia"/>
                      <w:szCs w:val="21"/>
                    </w:rPr>
                    <w:t>70.3</w:t>
                  </w:r>
                </w:p>
              </w:tc>
              <w:tc>
                <w:tcPr>
                  <w:tcW w:w="498" w:type="pct"/>
                  <w:vAlign w:val="center"/>
                </w:tcPr>
                <w:p>
                  <w:pPr>
                    <w:pStyle w:val="145"/>
                    <w:adjustRightInd/>
                    <w:snapToGrid/>
                    <w:spacing w:beforeLines="0" w:afterLines="0" w:line="240" w:lineRule="auto"/>
                    <w:rPr>
                      <w:szCs w:val="21"/>
                    </w:rPr>
                  </w:pPr>
                  <w:r>
                    <w:rPr>
                      <w:szCs w:val="21"/>
                    </w:rPr>
                    <w:t>0</w:t>
                  </w:r>
                </w:p>
              </w:tc>
              <w:tc>
                <w:tcPr>
                  <w:tcW w:w="500" w:type="pct"/>
                  <w:vAlign w:val="center"/>
                </w:tcPr>
                <w:p>
                  <w:pPr>
                    <w:pStyle w:val="145"/>
                    <w:adjustRightInd/>
                    <w:snapToGrid/>
                    <w:spacing w:beforeLines="0" w:afterLines="0" w:line="240" w:lineRule="auto"/>
                    <w:rPr>
                      <w:szCs w:val="21"/>
                    </w:rPr>
                  </w:pPr>
                  <w:r>
                    <w:rPr>
                      <w:szCs w:val="21"/>
                    </w:rPr>
                    <w:t>达标</w:t>
                  </w:r>
                </w:p>
              </w:tc>
            </w:tr>
          </w:tbl>
          <w:p>
            <w:pPr>
              <w:pStyle w:val="79"/>
              <w:spacing w:line="500" w:lineRule="exact"/>
              <w:ind w:firstLine="480"/>
              <w:rPr>
                <w:rFonts w:cs="Times New Roman"/>
                <w:snapToGrid w:val="0"/>
                <w:color w:val="auto"/>
                <w:sz w:val="24"/>
                <w:lang w:val="en-GB"/>
              </w:rPr>
            </w:pPr>
            <w:r>
              <w:rPr>
                <w:rFonts w:cs="Times New Roman"/>
                <w:snapToGrid w:val="0"/>
                <w:color w:val="auto"/>
                <w:sz w:val="24"/>
                <w:lang w:val="en-GB"/>
              </w:rPr>
              <w:t>监测结果表明，项目环境空气质量现状监测点处TSP24小时平均浓度浓度满足《环境空气质量标准》（GB3095-2012）中二级标准限值。</w:t>
            </w:r>
          </w:p>
          <w:p>
            <w:pPr>
              <w:pStyle w:val="79"/>
              <w:spacing w:line="500" w:lineRule="exact"/>
              <w:ind w:firstLine="482"/>
              <w:rPr>
                <w:rFonts w:cs="Times New Roman"/>
                <w:b/>
                <w:bCs/>
                <w:color w:val="auto"/>
                <w:sz w:val="24"/>
              </w:rPr>
            </w:pPr>
            <w:r>
              <w:rPr>
                <w:rFonts w:cs="Times New Roman"/>
                <w:b/>
                <w:bCs/>
                <w:color w:val="auto"/>
                <w:sz w:val="24"/>
              </w:rPr>
              <w:t>二、地表水环境质量现状</w:t>
            </w:r>
          </w:p>
          <w:p>
            <w:pPr>
              <w:pStyle w:val="79"/>
              <w:spacing w:line="500" w:lineRule="exact"/>
              <w:ind w:firstLine="480"/>
              <w:rPr>
                <w:rFonts w:cs="Times New Roman"/>
                <w:snapToGrid w:val="0"/>
                <w:color w:val="auto"/>
                <w:sz w:val="24"/>
                <w:lang w:val="en-GB"/>
              </w:rPr>
            </w:pPr>
            <w:r>
              <w:rPr>
                <w:rFonts w:hint="eastAsia" w:cs="Times New Roman"/>
                <w:snapToGrid w:val="0"/>
                <w:color w:val="auto"/>
                <w:sz w:val="24"/>
                <w:lang w:val="en-GB"/>
              </w:rPr>
              <w:t>项目纳污水体为小鹤立河，小鹤立河汇入鹤立河。根据《全国重要江河湖泊水功能区划（2011~2030）》（水资源[2012]131号），小鹤立河无水体功能类别要求，小鹤立河汇入鹤立河汇入口为鹤立河（前进沟汇入口至201国道公路桥下）河段，此河段无水体功能区划；该区域以下河段（201国道公路桥下至入梧桐河河口）规划水体类别为Ⅳ类。故确定本次评价区域地表水体小鹤立河水质目标执行《地表水环境质量标准》（GB3838-2002）Ⅳ类标准。</w:t>
            </w:r>
          </w:p>
          <w:p>
            <w:pPr>
              <w:pStyle w:val="79"/>
              <w:spacing w:line="500" w:lineRule="exact"/>
              <w:ind w:firstLine="420"/>
              <w:rPr>
                <w:rFonts w:cs="Times New Roman"/>
                <w:snapToGrid w:val="0"/>
                <w:color w:val="auto"/>
                <w:sz w:val="24"/>
                <w:lang w:val="en-GB"/>
              </w:rPr>
            </w:pPr>
            <w:r>
              <mc:AlternateContent>
                <mc:Choice Requires="wps">
                  <w:drawing>
                    <wp:anchor distT="0" distB="0" distL="114300" distR="114300" simplePos="0" relativeHeight="251689984" behindDoc="0" locked="0" layoutInCell="1" allowOverlap="1">
                      <wp:simplePos x="0" y="0"/>
                      <wp:positionH relativeFrom="column">
                        <wp:posOffset>3043555</wp:posOffset>
                      </wp:positionH>
                      <wp:positionV relativeFrom="paragraph">
                        <wp:posOffset>3646170</wp:posOffset>
                      </wp:positionV>
                      <wp:extent cx="134620" cy="111760"/>
                      <wp:effectExtent l="38100" t="19050" r="36830" b="40640"/>
                      <wp:wrapNone/>
                      <wp:docPr id="555844058" name="星形: 五角 18"/>
                      <wp:cNvGraphicFramePr/>
                      <a:graphic xmlns:a="http://schemas.openxmlformats.org/drawingml/2006/main">
                        <a:graphicData uri="http://schemas.microsoft.com/office/word/2010/wordprocessingShape">
                          <wps:wsp>
                            <wps:cNvSpPr/>
                            <wps:spPr>
                              <a:xfrm>
                                <a:off x="0" y="0"/>
                                <a:ext cx="134620" cy="111760"/>
                              </a:xfrm>
                              <a:prstGeom prst="star5">
                                <a:avLst/>
                              </a:prstGeom>
                              <a:solidFill>
                                <a:srgbClr val="EE0000"/>
                              </a:solid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18" o:spid="_x0000_s1026" style="position:absolute;left:0pt;margin-left:239.65pt;margin-top:287.1pt;height:8.8pt;width:10.6pt;z-index:251689984;v-text-anchor:middle;mso-width-relative:page;mso-height-relative:page;" fillcolor="#EE0000" filled="t" stroked="t" coordsize="134620,111760" o:gfxdata="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BYAAABkcnMvUEsBAhQAFAAA&#10;AAgAh07iQM6xpLDeAAAACwEAAA8AAAAAAAAAAQAgAAAAOAAAAGRycy9kb3ducmV2LnhtbFBLAQIU&#10;ABQAAAAIAIdO4kDKa3WtggIAAAUFAAAOAAAAAAAAAAEAIAAAAEMBAABkcnMvZTJvRG9jLnhtbFBL&#10;BQYAAAAABgAGAFkBAAA3BgAAAAA=&#10;" path="m0,42688l51420,42688,67310,0,83199,42688,134619,42688,93019,69071,108909,111759,67310,85376,25710,111759,41600,69071xe">
                      <v:path o:connectlocs="67310,0;0,42688;25710,111759;108909,111759;134619,42688" o:connectangles="247,164,82,82,0"/>
                      <v:fill on="t" focussize="0,0"/>
                      <v:stroke weight="1pt" color="#EE0000 [3204]" miterlimit="8" joinstyle="miter"/>
                      <v:imagedata o:title=""/>
                      <o:lock v:ext="edit" aspectratio="f"/>
                    </v:shape>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3248025</wp:posOffset>
                      </wp:positionH>
                      <wp:positionV relativeFrom="paragraph">
                        <wp:posOffset>3030855</wp:posOffset>
                      </wp:positionV>
                      <wp:extent cx="745490" cy="274320"/>
                      <wp:effectExtent l="114300" t="0" r="16510" b="430530"/>
                      <wp:wrapNone/>
                      <wp:docPr id="1607522734" name="对话气泡: 矩形 19"/>
                      <wp:cNvGraphicFramePr/>
                      <a:graphic xmlns:a="http://schemas.openxmlformats.org/drawingml/2006/main">
                        <a:graphicData uri="http://schemas.microsoft.com/office/word/2010/wordprocessingShape">
                          <wps:wsp>
                            <wps:cNvSpPr/>
                            <wps:spPr>
                              <a:xfrm>
                                <a:off x="4577493" y="6030552"/>
                                <a:ext cx="745490" cy="274320"/>
                              </a:xfrm>
                              <a:prstGeom prst="wedgeRectCallout">
                                <a:avLst>
                                  <a:gd name="adj1" fmla="val -59963"/>
                                  <a:gd name="adj2" fmla="val 189456"/>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pPr>
                                    <w:jc w:val="center"/>
                                    <w:rPr>
                                      <w:color w:val="000000" w:themeColor="text1"/>
                                      <w:sz w:val="16"/>
                                      <w:szCs w:val="20"/>
                                      <w14:textFill>
                                        <w14:solidFill>
                                          <w14:schemeClr w14:val="tx1"/>
                                        </w14:solidFill>
                                      </w14:textFill>
                                    </w:rPr>
                                  </w:pPr>
                                  <w:r>
                                    <w:rPr>
                                      <w:rFonts w:hint="eastAsia"/>
                                      <w:color w:val="000000" w:themeColor="text1"/>
                                      <w:sz w:val="16"/>
                                      <w:szCs w:val="20"/>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9" o:spid="_x0000_s1026" o:spt="61" type="#_x0000_t61" style="position:absolute;left:0pt;margin-left:255.75pt;margin-top:238.65pt;height:21.6pt;width:58.7pt;z-index:251691008;v-text-anchor:middle;mso-width-relative:page;mso-height-relative:page;" filled="f" stroked="t" coordsize="21600,21600" o:gfxdata="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WAAAAZHJzL1BLAQIUABQAAAAIAIdO4kAi+FtF2QAAAAsBAAAPAAAAAAAAAAEAIAAA&#10;ADgAAABkcnMvZG93bnJldi54bWxQSwECFAAUAAAACACHTuJA3R5v79kCAAB5BQAADgAAAAAAAAAB&#10;ACAAAAA+AQAAZHJzL2Uyb0RvYy54bWxQSwUGAAAAAAYABgBZAQAAiQYAAAAA&#10;" adj="-2152,51722">
                      <v:fill on="f" focussize="0,0"/>
                      <v:stroke weight="1pt" color="#172C51 [3204]" miterlimit="8" joinstyle="miter"/>
                      <v:imagedata o:title=""/>
                      <o:lock v:ext="edit" aspectratio="f"/>
                      <v:textbox>
                        <w:txbxContent>
                          <w:p>
                            <w:pPr>
                              <w:jc w:val="center"/>
                              <w:rPr>
                                <w:color w:val="000000" w:themeColor="text1"/>
                                <w:sz w:val="16"/>
                                <w:szCs w:val="20"/>
                                <w14:textFill>
                                  <w14:solidFill>
                                    <w14:schemeClr w14:val="tx1"/>
                                  </w14:solidFill>
                                </w14:textFill>
                              </w:rPr>
                            </w:pPr>
                            <w:r>
                              <w:rPr>
                                <w:rFonts w:hint="eastAsia"/>
                                <w:color w:val="000000" w:themeColor="text1"/>
                                <w:sz w:val="16"/>
                                <w:szCs w:val="20"/>
                                <w14:textFill>
                                  <w14:solidFill>
                                    <w14:schemeClr w14:val="tx1"/>
                                  </w14:solidFill>
                                </w14:textFill>
                              </w:rPr>
                              <w:t>本项目位置</w:t>
                            </w:r>
                          </w:p>
                        </w:txbxContent>
                      </v:textbox>
                    </v:shape>
                  </w:pict>
                </mc:Fallback>
              </mc:AlternateContent>
            </w:r>
            <w:r>
              <w:drawing>
                <wp:anchor distT="0" distB="0" distL="114300" distR="114300" simplePos="0" relativeHeight="251688960" behindDoc="1" locked="0" layoutInCell="1" allowOverlap="1">
                  <wp:simplePos x="0" y="0"/>
                  <wp:positionH relativeFrom="column">
                    <wp:posOffset>499110</wp:posOffset>
                  </wp:positionH>
                  <wp:positionV relativeFrom="paragraph">
                    <wp:posOffset>1039495</wp:posOffset>
                  </wp:positionV>
                  <wp:extent cx="4055745" cy="4245610"/>
                  <wp:effectExtent l="0" t="0" r="1905" b="2540"/>
                  <wp:wrapTopAndBottom/>
                  <wp:docPr id="17437946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794638" name="图片 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4055745" cy="4245610"/>
                          </a:xfrm>
                          <a:prstGeom prst="rect">
                            <a:avLst/>
                          </a:prstGeom>
                        </pic:spPr>
                      </pic:pic>
                    </a:graphicData>
                  </a:graphic>
                </wp:anchor>
              </w:drawing>
            </w:r>
            <w:bookmarkStart w:id="17" w:name="_Hlk211949028"/>
            <w:r>
              <w:rPr>
                <w:rFonts w:hint="eastAsia" w:cs="Times New Roman"/>
                <w:snapToGrid w:val="0"/>
                <w:color w:val="auto"/>
                <w:sz w:val="24"/>
                <w:lang w:val="en-GB"/>
              </w:rPr>
              <w:t>根据《2024年黑龙江省生态环境质量状况》，本次评价区域地表水体水质为</w:t>
            </w:r>
            <w:r>
              <w:rPr>
                <w:rFonts w:cs="Times New Roman"/>
                <w:snapToGrid w:val="0"/>
                <w:color w:val="auto"/>
                <w:sz w:val="24"/>
                <w:lang w:val="en-GB"/>
              </w:rPr>
              <w:t>Ⅲ</w:t>
            </w:r>
            <w:r>
              <w:rPr>
                <w:rFonts w:hint="eastAsia" w:cs="Times New Roman"/>
                <w:snapToGrid w:val="0"/>
                <w:color w:val="auto"/>
                <w:sz w:val="24"/>
                <w:lang w:val="en-GB"/>
              </w:rPr>
              <w:t>类，满足《全国重要江河湖泊水功能区划（2011~2030）》（水资源[2012]131号）规定的Ⅳ类水体功能区划</w:t>
            </w:r>
            <w:bookmarkEnd w:id="17"/>
            <w:r>
              <w:rPr>
                <w:rFonts w:hint="eastAsia" w:cs="Times New Roman"/>
                <w:snapToGrid w:val="0"/>
                <w:color w:val="auto"/>
                <w:sz w:val="24"/>
                <w:lang w:val="en-GB"/>
              </w:rPr>
              <w:t>。</w:t>
            </w:r>
          </w:p>
          <w:p>
            <w:pPr>
              <w:pStyle w:val="46"/>
              <w:spacing w:line="400" w:lineRule="atLeast"/>
              <w:rPr>
                <w:rFonts w:eastAsia="宋体" w:cs="Times New Roman"/>
                <w:bCs/>
                <w:szCs w:val="24"/>
              </w:rPr>
            </w:pPr>
            <w:r>
              <w:rPr>
                <w:rFonts w:hint="eastAsia" w:eastAsia="宋体" w:cs="Times New Roman"/>
                <w:bCs/>
                <w:szCs w:val="24"/>
              </w:rPr>
              <w:t>图 3-4  2024 年全省地表水水质状况示意图</w:t>
            </w:r>
          </w:p>
          <w:p>
            <w:pPr>
              <w:pStyle w:val="79"/>
              <w:spacing w:line="500" w:lineRule="exact"/>
              <w:ind w:firstLine="482"/>
              <w:rPr>
                <w:rFonts w:cs="Times New Roman"/>
                <w:b/>
                <w:bCs/>
                <w:color w:val="auto"/>
                <w:kern w:val="2"/>
                <w:sz w:val="24"/>
              </w:rPr>
            </w:pPr>
            <w:r>
              <w:rPr>
                <w:rFonts w:cs="Times New Roman"/>
                <w:b/>
                <w:bCs/>
                <w:color w:val="auto"/>
                <w:kern w:val="2"/>
                <w:sz w:val="24"/>
              </w:rPr>
              <w:t>三、声环境</w:t>
            </w:r>
            <w:r>
              <w:rPr>
                <w:rFonts w:cs="Times New Roman"/>
                <w:b/>
                <w:bCs/>
                <w:color w:val="auto"/>
                <w:sz w:val="24"/>
              </w:rPr>
              <w:t>质量现状</w:t>
            </w:r>
          </w:p>
          <w:p>
            <w:pPr>
              <w:pStyle w:val="93"/>
              <w:ind w:firstLine="480"/>
              <w:rPr>
                <w:rFonts w:eastAsia="宋体"/>
                <w:color w:val="auto"/>
                <w:szCs w:val="21"/>
              </w:rPr>
            </w:pPr>
            <w:r>
              <w:rPr>
                <w:rFonts w:hint="eastAsia" w:eastAsia="宋体"/>
                <w:color w:val="auto"/>
                <w:szCs w:val="21"/>
              </w:rPr>
              <w:t>根据</w:t>
            </w:r>
            <w:bookmarkStart w:id="18" w:name="_Hlk211949059"/>
            <w:r>
              <w:rPr>
                <w:rFonts w:hint="eastAsia" w:eastAsia="宋体"/>
                <w:color w:val="auto"/>
                <w:szCs w:val="21"/>
              </w:rPr>
              <w:t>《2024年黑龙江省生态环境质量状况》，鹤岗市区域昼间声环境质量为二级，平均等效声级为53.1dB（A）。本项目周边50米范围内不存在声环境保护目标，因此本次评价不开展声环境质量现状监测</w:t>
            </w:r>
            <w:bookmarkEnd w:id="18"/>
            <w:r>
              <w:rPr>
                <w:rFonts w:hint="eastAsia" w:eastAsia="宋体"/>
                <w:color w:val="auto"/>
                <w:szCs w:val="21"/>
              </w:rPr>
              <w:t>。</w:t>
            </w:r>
          </w:p>
          <w:p>
            <w:pPr>
              <w:pStyle w:val="79"/>
              <w:spacing w:line="500" w:lineRule="exact"/>
              <w:ind w:firstLine="482"/>
              <w:rPr>
                <w:rFonts w:cs="Times New Roman"/>
                <w:b/>
                <w:bCs/>
                <w:color w:val="auto"/>
                <w:sz w:val="24"/>
              </w:rPr>
            </w:pPr>
            <w:r>
              <w:rPr>
                <w:rFonts w:hint="eastAsia" w:cs="Times New Roman"/>
                <w:b/>
                <w:bCs/>
                <w:color w:val="auto"/>
                <w:sz w:val="24"/>
              </w:rPr>
              <w:t>四、地下水环境质量现状</w:t>
            </w:r>
          </w:p>
          <w:p>
            <w:pPr>
              <w:pStyle w:val="79"/>
              <w:spacing w:line="500" w:lineRule="exact"/>
              <w:ind w:firstLine="480"/>
              <w:rPr>
                <w:rFonts w:cs="Times New Roman"/>
                <w:color w:val="auto"/>
                <w:sz w:val="24"/>
              </w:rPr>
            </w:pPr>
            <w:r>
              <w:rPr>
                <w:rFonts w:hint="eastAsia" w:cs="Times New Roman"/>
                <w:color w:val="auto"/>
                <w:sz w:val="24"/>
              </w:rPr>
              <w:t>①数据来源</w:t>
            </w:r>
          </w:p>
          <w:p>
            <w:pPr>
              <w:pStyle w:val="93"/>
              <w:ind w:firstLine="480"/>
              <w:rPr>
                <w:rFonts w:eastAsia="宋体"/>
                <w:color w:val="auto"/>
                <w:szCs w:val="21"/>
              </w:rPr>
            </w:pPr>
            <w:r>
              <w:rPr>
                <w:rFonts w:hint="eastAsia" w:eastAsia="宋体"/>
                <w:color w:val="auto"/>
                <w:szCs w:val="21"/>
              </w:rPr>
              <w:t>为了掌握地下水环境质量现状，以留作背景值，根据黑龙江克巽检测技术有限公司</w:t>
            </w:r>
            <w:r>
              <w:rPr>
                <w:rFonts w:eastAsia="宋体"/>
                <w:color w:val="auto"/>
                <w:szCs w:val="21"/>
              </w:rPr>
              <w:t>于</w:t>
            </w:r>
            <w:r>
              <w:rPr>
                <w:rFonts w:hint="eastAsia" w:eastAsia="宋体"/>
                <w:color w:val="auto"/>
                <w:szCs w:val="21"/>
              </w:rPr>
              <w:t>2024年9月28日至9月30日</w:t>
            </w:r>
            <w:r>
              <w:rPr>
                <w:rFonts w:eastAsia="宋体"/>
                <w:color w:val="auto"/>
                <w:szCs w:val="21"/>
              </w:rPr>
              <w:t>对项目所在区域地下水环境质量现状进行</w:t>
            </w:r>
            <w:r>
              <w:rPr>
                <w:rFonts w:hint="eastAsia" w:eastAsia="宋体"/>
                <w:color w:val="auto"/>
                <w:szCs w:val="21"/>
              </w:rPr>
              <w:t>的</w:t>
            </w:r>
            <w:r>
              <w:rPr>
                <w:rFonts w:eastAsia="宋体"/>
                <w:color w:val="auto"/>
                <w:szCs w:val="21"/>
              </w:rPr>
              <w:t>监测。</w:t>
            </w:r>
            <w:r>
              <w:rPr>
                <w:rFonts w:hint="eastAsia" w:eastAsia="宋体"/>
                <w:color w:val="auto"/>
                <w:szCs w:val="21"/>
              </w:rPr>
              <w:t>根据项目位置、地质、地形情况和现有井位，利用一眼井作为监测对象，监测井的位置见下表。</w:t>
            </w:r>
          </w:p>
          <w:p>
            <w:pPr>
              <w:pStyle w:val="46"/>
              <w:adjustRightInd/>
              <w:snapToGrid/>
              <w:rPr>
                <w:rFonts w:eastAsia="宋体" w:cs="Times New Roman"/>
                <w:bCs/>
                <w:szCs w:val="24"/>
              </w:rPr>
            </w:pPr>
            <w:r>
              <w:rPr>
                <w:rFonts w:eastAsia="宋体" w:cs="Times New Roman"/>
                <w:bCs/>
                <w:szCs w:val="24"/>
              </w:rPr>
              <w:t>表</w:t>
            </w:r>
            <w:r>
              <w:rPr>
                <w:rFonts w:hint="eastAsia" w:eastAsia="宋体" w:cs="Times New Roman"/>
                <w:bCs/>
                <w:szCs w:val="24"/>
              </w:rPr>
              <w:t>3-4</w:t>
            </w:r>
            <w:r>
              <w:rPr>
                <w:rFonts w:eastAsia="宋体" w:cs="Times New Roman"/>
                <w:bCs/>
                <w:szCs w:val="24"/>
              </w:rPr>
              <w:t xml:space="preserve"> 地下水监测点位置及情况说明表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4"/>
              <w:gridCol w:w="1105"/>
              <w:gridCol w:w="1586"/>
              <w:gridCol w:w="3335"/>
              <w:gridCol w:w="12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706" w:type="dxa"/>
                  <w:vAlign w:val="center"/>
                </w:tcPr>
                <w:p>
                  <w:pPr>
                    <w:jc w:val="center"/>
                    <w:rPr>
                      <w:szCs w:val="21"/>
                    </w:rPr>
                  </w:pPr>
                  <w:r>
                    <w:rPr>
                      <w:rFonts w:hint="eastAsia"/>
                      <w:szCs w:val="21"/>
                    </w:rPr>
                    <w:t>序号</w:t>
                  </w:r>
                </w:p>
              </w:tc>
              <w:tc>
                <w:tcPr>
                  <w:tcW w:w="1134" w:type="dxa"/>
                  <w:vAlign w:val="center"/>
                </w:tcPr>
                <w:p>
                  <w:pPr>
                    <w:jc w:val="center"/>
                    <w:rPr>
                      <w:szCs w:val="21"/>
                    </w:rPr>
                  </w:pPr>
                  <w:r>
                    <w:rPr>
                      <w:rFonts w:hint="eastAsia"/>
                      <w:szCs w:val="21"/>
                    </w:rPr>
                    <w:t>监测点位</w:t>
                  </w:r>
                </w:p>
              </w:tc>
              <w:tc>
                <w:tcPr>
                  <w:tcW w:w="1594" w:type="dxa"/>
                  <w:vAlign w:val="center"/>
                </w:tcPr>
                <w:p>
                  <w:pPr>
                    <w:jc w:val="center"/>
                    <w:rPr>
                      <w:szCs w:val="21"/>
                    </w:rPr>
                  </w:pPr>
                  <w:r>
                    <w:rPr>
                      <w:szCs w:val="21"/>
                    </w:rPr>
                    <w:t>坐标</w:t>
                  </w:r>
                </w:p>
              </w:tc>
              <w:tc>
                <w:tcPr>
                  <w:tcW w:w="3436" w:type="dxa"/>
                  <w:vAlign w:val="center"/>
                </w:tcPr>
                <w:p>
                  <w:pPr>
                    <w:jc w:val="center"/>
                    <w:rPr>
                      <w:szCs w:val="21"/>
                    </w:rPr>
                  </w:pPr>
                  <w:r>
                    <w:rPr>
                      <w:rFonts w:hint="eastAsia"/>
                      <w:szCs w:val="21"/>
                    </w:rPr>
                    <w:t>监测项目</w:t>
                  </w:r>
                </w:p>
              </w:tc>
              <w:tc>
                <w:tcPr>
                  <w:tcW w:w="1289" w:type="dxa"/>
                  <w:vAlign w:val="center"/>
                </w:tcPr>
                <w:p>
                  <w:pPr>
                    <w:jc w:val="center"/>
                    <w:rPr>
                      <w:szCs w:val="21"/>
                    </w:rPr>
                  </w:pPr>
                  <w:r>
                    <w:rPr>
                      <w:rFonts w:hint="eastAsia"/>
                      <w:szCs w:val="21"/>
                    </w:rPr>
                    <w:t>监频测次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706" w:type="dxa"/>
                  <w:vAlign w:val="center"/>
                </w:tcPr>
                <w:p>
                  <w:pPr>
                    <w:jc w:val="center"/>
                    <w:rPr>
                      <w:szCs w:val="21"/>
                    </w:rPr>
                  </w:pPr>
                  <w:r>
                    <w:rPr>
                      <w:rFonts w:hint="eastAsia"/>
                      <w:szCs w:val="21"/>
                    </w:rPr>
                    <w:t>1</w:t>
                  </w:r>
                </w:p>
              </w:tc>
              <w:tc>
                <w:tcPr>
                  <w:tcW w:w="1134" w:type="dxa"/>
                  <w:vAlign w:val="center"/>
                </w:tcPr>
                <w:p>
                  <w:pPr>
                    <w:jc w:val="center"/>
                    <w:rPr>
                      <w:szCs w:val="21"/>
                    </w:rPr>
                  </w:pPr>
                  <w:r>
                    <w:rPr>
                      <w:rFonts w:hint="eastAsia"/>
                      <w:szCs w:val="21"/>
                    </w:rPr>
                    <w:t>项目位置</w:t>
                  </w:r>
                </w:p>
              </w:tc>
              <w:tc>
                <w:tcPr>
                  <w:tcW w:w="1594" w:type="dxa"/>
                  <w:vAlign w:val="center"/>
                </w:tcPr>
                <w:p>
                  <w:pPr>
                    <w:jc w:val="center"/>
                    <w:rPr>
                      <w:spacing w:val="-2"/>
                      <w:szCs w:val="21"/>
                    </w:rPr>
                  </w:pPr>
                  <w:r>
                    <w:rPr>
                      <w:spacing w:val="-2"/>
                      <w:szCs w:val="21"/>
                    </w:rPr>
                    <w:t>E</w:t>
                  </w:r>
                  <w:r>
                    <w:rPr>
                      <w:rFonts w:ascii="Calibri" w:hAnsi="Calibri"/>
                      <w:szCs w:val="22"/>
                    </w:rPr>
                    <w:t xml:space="preserve"> </w:t>
                  </w:r>
                  <w:r>
                    <w:rPr>
                      <w:spacing w:val="-2"/>
                      <w:szCs w:val="21"/>
                    </w:rPr>
                    <w:t>130.26055571</w:t>
                  </w:r>
                </w:p>
                <w:p>
                  <w:pPr>
                    <w:jc w:val="center"/>
                    <w:rPr>
                      <w:szCs w:val="21"/>
                    </w:rPr>
                  </w:pPr>
                  <w:r>
                    <w:rPr>
                      <w:spacing w:val="-2"/>
                      <w:szCs w:val="21"/>
                    </w:rPr>
                    <w:t>N</w:t>
                  </w:r>
                  <w:r>
                    <w:rPr>
                      <w:rFonts w:ascii="Calibri" w:hAnsi="Calibri"/>
                      <w:szCs w:val="22"/>
                    </w:rPr>
                    <w:t xml:space="preserve"> </w:t>
                  </w:r>
                  <w:r>
                    <w:rPr>
                      <w:spacing w:val="-2"/>
                      <w:szCs w:val="21"/>
                    </w:rPr>
                    <w:t>47.18855156</w:t>
                  </w:r>
                </w:p>
              </w:tc>
              <w:tc>
                <w:tcPr>
                  <w:tcW w:w="3436" w:type="dxa"/>
                  <w:vAlign w:val="center"/>
                </w:tcPr>
                <w:p>
                  <w:pPr>
                    <w:rPr>
                      <w:szCs w:val="21"/>
                    </w:rPr>
                  </w:pPr>
                  <w:r>
                    <w:rPr>
                      <w:rFonts w:hint="eastAsia"/>
                      <w:kern w:val="0"/>
                      <w:szCs w:val="21"/>
                    </w:rPr>
                    <w:t>pH、氨氮、硝酸盐、亚硝酸盐、总硬度、耗氧量、溶解性总固体、铁、锰、铅、六价铬、氯化物、硫酸盐、细菌总数、总大肠菌群、挥发性酚类、氰化物、砷、汞、氟、镉；</w:t>
                  </w:r>
                  <w:r>
                    <w:rPr>
                      <w:szCs w:val="21"/>
                    </w:rPr>
                    <w:t>K</w:t>
                  </w:r>
                  <w:r>
                    <w:rPr>
                      <w:szCs w:val="21"/>
                      <w:vertAlign w:val="superscript"/>
                    </w:rPr>
                    <w:t>+</w:t>
                  </w:r>
                  <w:r>
                    <w:rPr>
                      <w:szCs w:val="21"/>
                    </w:rPr>
                    <w:t>、Na</w:t>
                  </w:r>
                  <w:r>
                    <w:rPr>
                      <w:szCs w:val="21"/>
                      <w:vertAlign w:val="superscript"/>
                    </w:rPr>
                    <w:t>+</w:t>
                  </w:r>
                  <w:r>
                    <w:rPr>
                      <w:szCs w:val="21"/>
                    </w:rPr>
                    <w:t>、Ca</w:t>
                  </w:r>
                  <w:r>
                    <w:rPr>
                      <w:szCs w:val="21"/>
                      <w:vertAlign w:val="superscript"/>
                    </w:rPr>
                    <w:t>2+</w:t>
                  </w:r>
                  <w:r>
                    <w:rPr>
                      <w:szCs w:val="21"/>
                    </w:rPr>
                    <w:t>、Mg</w:t>
                  </w:r>
                  <w:r>
                    <w:rPr>
                      <w:szCs w:val="21"/>
                      <w:vertAlign w:val="superscript"/>
                    </w:rPr>
                    <w:t>2+</w:t>
                  </w:r>
                  <w:r>
                    <w:rPr>
                      <w:szCs w:val="21"/>
                    </w:rPr>
                    <w:t>、CO</w:t>
                  </w:r>
                  <w:r>
                    <w:rPr>
                      <w:szCs w:val="21"/>
                      <w:vertAlign w:val="subscript"/>
                    </w:rPr>
                    <w:t>3</w:t>
                  </w:r>
                  <w:r>
                    <w:rPr>
                      <w:szCs w:val="21"/>
                      <w:vertAlign w:val="superscript"/>
                    </w:rPr>
                    <w:t>2-</w:t>
                  </w:r>
                  <w:r>
                    <w:rPr>
                      <w:szCs w:val="21"/>
                    </w:rPr>
                    <w:t>、HCO</w:t>
                  </w:r>
                  <w:r>
                    <w:rPr>
                      <w:szCs w:val="21"/>
                      <w:vertAlign w:val="subscript"/>
                    </w:rPr>
                    <w:t>3</w:t>
                  </w:r>
                  <w:r>
                    <w:rPr>
                      <w:szCs w:val="21"/>
                      <w:vertAlign w:val="superscript"/>
                    </w:rPr>
                    <w:t>-</w:t>
                  </w:r>
                  <w:r>
                    <w:rPr>
                      <w:szCs w:val="21"/>
                    </w:rPr>
                    <w:t>、Cl</w:t>
                  </w:r>
                  <w:r>
                    <w:rPr>
                      <w:szCs w:val="21"/>
                      <w:vertAlign w:val="superscript"/>
                    </w:rPr>
                    <w:t>-</w:t>
                  </w:r>
                  <w:r>
                    <w:rPr>
                      <w:szCs w:val="21"/>
                    </w:rPr>
                    <w:t>、SO</w:t>
                  </w:r>
                  <w:r>
                    <w:rPr>
                      <w:szCs w:val="21"/>
                      <w:vertAlign w:val="subscript"/>
                    </w:rPr>
                    <w:t>4</w:t>
                  </w:r>
                  <w:r>
                    <w:rPr>
                      <w:kern w:val="0"/>
                      <w:szCs w:val="21"/>
                      <w:vertAlign w:val="superscript"/>
                    </w:rPr>
                    <w:t>2-</w:t>
                  </w:r>
                  <w:r>
                    <w:rPr>
                      <w:kern w:val="0"/>
                      <w:szCs w:val="21"/>
                    </w:rPr>
                    <w:t>的浓度</w:t>
                  </w:r>
                  <w:r>
                    <w:rPr>
                      <w:rFonts w:hint="eastAsia"/>
                      <w:kern w:val="0"/>
                      <w:szCs w:val="21"/>
                    </w:rPr>
                    <w:t>；</w:t>
                  </w:r>
                </w:p>
              </w:tc>
              <w:tc>
                <w:tcPr>
                  <w:tcW w:w="1289" w:type="dxa"/>
                  <w:vAlign w:val="center"/>
                </w:tcPr>
                <w:p>
                  <w:pPr>
                    <w:jc w:val="center"/>
                    <w:rPr>
                      <w:szCs w:val="21"/>
                    </w:rPr>
                  </w:pPr>
                  <w:r>
                    <w:rPr>
                      <w:rFonts w:hint="eastAsia"/>
                      <w:szCs w:val="21"/>
                    </w:rPr>
                    <w:t>1天</w:t>
                  </w:r>
                </w:p>
                <w:p>
                  <w:pPr>
                    <w:jc w:val="center"/>
                    <w:rPr>
                      <w:szCs w:val="21"/>
                    </w:rPr>
                  </w:pPr>
                  <w:r>
                    <w:rPr>
                      <w:rFonts w:hint="eastAsia"/>
                      <w:szCs w:val="21"/>
                    </w:rPr>
                    <w:t>1次</w:t>
                  </w:r>
                </w:p>
              </w:tc>
            </w:tr>
          </w:tbl>
          <w:p>
            <w:pPr>
              <w:spacing w:line="480" w:lineRule="exact"/>
              <w:ind w:firstLine="480" w:firstLineChars="200"/>
              <w:rPr>
                <w:sz w:val="24"/>
              </w:rPr>
            </w:pPr>
            <w:r>
              <w:rPr>
                <w:rFonts w:hint="eastAsia"/>
                <w:sz w:val="24"/>
              </w:rPr>
              <w:t>②监测方法</w:t>
            </w:r>
          </w:p>
          <w:p>
            <w:pPr>
              <w:spacing w:line="480" w:lineRule="exact"/>
              <w:ind w:firstLine="480" w:firstLineChars="200"/>
              <w:rPr>
                <w:sz w:val="24"/>
              </w:rPr>
            </w:pPr>
            <w:r>
              <w:rPr>
                <w:sz w:val="24"/>
              </w:rPr>
              <w:t>地下水监测方法</w:t>
            </w:r>
            <w:r>
              <w:rPr>
                <w:rFonts w:hint="eastAsia"/>
                <w:sz w:val="24"/>
              </w:rPr>
              <w:t>及仪器</w:t>
            </w:r>
            <w:r>
              <w:rPr>
                <w:sz w:val="24"/>
              </w:rPr>
              <w:t>见</w:t>
            </w:r>
            <w:r>
              <w:rPr>
                <w:rFonts w:hint="eastAsia"/>
                <w:sz w:val="24"/>
              </w:rPr>
              <w:t>下表</w:t>
            </w:r>
            <w:r>
              <w:rPr>
                <w:sz w:val="24"/>
              </w:rPr>
              <w:t>。</w:t>
            </w:r>
          </w:p>
          <w:p>
            <w:pPr>
              <w:spacing w:line="276" w:lineRule="auto"/>
              <w:jc w:val="center"/>
              <w:rPr>
                <w:rFonts w:hint="eastAsia" w:hAnsi="宋体"/>
                <w:b/>
                <w:bCs/>
                <w:kern w:val="0"/>
                <w:sz w:val="24"/>
              </w:rPr>
            </w:pPr>
            <w:r>
              <w:rPr>
                <w:rFonts w:hAnsi="宋体"/>
                <w:b/>
                <w:bCs/>
                <w:kern w:val="0"/>
                <w:sz w:val="24"/>
              </w:rPr>
              <w:t>表</w:t>
            </w:r>
            <w:r>
              <w:rPr>
                <w:rFonts w:hint="eastAsia" w:hAnsi="宋体"/>
                <w:b/>
                <w:bCs/>
                <w:kern w:val="0"/>
                <w:sz w:val="24"/>
              </w:rPr>
              <w:t>3-5</w:t>
            </w:r>
            <w:r>
              <w:rPr>
                <w:rFonts w:hAnsi="宋体"/>
                <w:b/>
                <w:bCs/>
                <w:kern w:val="0"/>
                <w:sz w:val="24"/>
              </w:rPr>
              <w:t xml:space="preserve"> 地下水监测方法</w:t>
            </w:r>
            <w:r>
              <w:rPr>
                <w:rFonts w:hint="eastAsia" w:hAnsi="宋体"/>
                <w:b/>
                <w:bCs/>
                <w:kern w:val="0"/>
                <w:sz w:val="24"/>
              </w:rPr>
              <w:t>及仪器</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8"/>
              <w:gridCol w:w="1209"/>
              <w:gridCol w:w="3790"/>
              <w:gridCol w:w="25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727" w:type="dxa"/>
                  <w:gridSpan w:val="2"/>
                  <w:vAlign w:val="center"/>
                </w:tcPr>
                <w:p>
                  <w:pPr>
                    <w:jc w:val="center"/>
                    <w:rPr>
                      <w:rFonts w:ascii="Times New Roman" w:hAnsi="Times New Roman"/>
                      <w:b/>
                      <w:bCs/>
                      <w:szCs w:val="21"/>
                    </w:rPr>
                  </w:pPr>
                  <w:r>
                    <w:rPr>
                      <w:rFonts w:ascii="Times New Roman" w:hAnsi="Times New Roman"/>
                      <w:b/>
                      <w:bCs/>
                      <w:szCs w:val="21"/>
                    </w:rPr>
                    <w:t>检测项目</w:t>
                  </w:r>
                </w:p>
              </w:tc>
              <w:tc>
                <w:tcPr>
                  <w:tcW w:w="4082" w:type="dxa"/>
                  <w:vAlign w:val="center"/>
                </w:tcPr>
                <w:p>
                  <w:pPr>
                    <w:jc w:val="center"/>
                    <w:rPr>
                      <w:rFonts w:ascii="Times New Roman" w:hAnsi="Times New Roman"/>
                      <w:b/>
                      <w:bCs/>
                      <w:szCs w:val="21"/>
                    </w:rPr>
                  </w:pPr>
                  <w:r>
                    <w:rPr>
                      <w:rFonts w:ascii="Times New Roman" w:hAnsi="Times New Roman"/>
                      <w:b/>
                      <w:bCs/>
                      <w:szCs w:val="21"/>
                    </w:rPr>
                    <w:t>检测方法名称及标准号</w:t>
                  </w:r>
                </w:p>
              </w:tc>
              <w:tc>
                <w:tcPr>
                  <w:tcW w:w="2350" w:type="dxa"/>
                  <w:vAlign w:val="center"/>
                </w:tcPr>
                <w:p>
                  <w:pPr>
                    <w:jc w:val="center"/>
                    <w:rPr>
                      <w:rFonts w:ascii="Times New Roman" w:hAnsi="Times New Roman"/>
                      <w:b/>
                      <w:bCs/>
                      <w:szCs w:val="21"/>
                    </w:rPr>
                  </w:pPr>
                  <w:r>
                    <w:rPr>
                      <w:rFonts w:ascii="Times New Roman" w:hAnsi="Times New Roman"/>
                      <w:b/>
                      <w:bCs/>
                      <w:szCs w:val="21"/>
                    </w:rPr>
                    <w:t>仪器名称/仪器型号/仪器编号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Times New Roman" w:hAnsi="Times New Roman"/>
                      <w:szCs w:val="21"/>
                    </w:rPr>
                  </w:pPr>
                  <w:r>
                    <w:rPr>
                      <w:rFonts w:hint="eastAsia" w:ascii="Times New Roman" w:hAnsi="Times New Roman"/>
                      <w:szCs w:val="21"/>
                    </w:rPr>
                    <w:t>1</w:t>
                  </w:r>
                </w:p>
              </w:tc>
              <w:tc>
                <w:tcPr>
                  <w:tcW w:w="1276"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pH</w:t>
                  </w:r>
                  <w:r>
                    <w:rPr>
                      <w:rFonts w:hint="eastAsia" w:ascii="Times New Roman" w:hAnsi="Times New Roman"/>
                      <w:kern w:val="0"/>
                      <w:szCs w:val="21"/>
                      <w:lang w:bidi="ar"/>
                    </w:rPr>
                    <w:t>值</w:t>
                  </w:r>
                </w:p>
              </w:tc>
              <w:tc>
                <w:tcPr>
                  <w:tcW w:w="4082"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水质 pH值的测定 玻璃电极法</w:t>
                  </w:r>
                </w:p>
                <w:p>
                  <w:pPr>
                    <w:widowControl/>
                    <w:jc w:val="center"/>
                    <w:textAlignment w:val="center"/>
                    <w:rPr>
                      <w:rFonts w:ascii="Times New Roman" w:hAnsi="Times New Roman"/>
                      <w:kern w:val="0"/>
                      <w:szCs w:val="21"/>
                      <w:lang w:bidi="ar"/>
                    </w:rPr>
                  </w:pPr>
                  <w:r>
                    <w:rPr>
                      <w:rFonts w:ascii="Times New Roman" w:hAnsi="Times New Roman"/>
                      <w:kern w:val="0"/>
                      <w:szCs w:val="21"/>
                      <w:lang w:bidi="ar"/>
                    </w:rPr>
                    <w:t>HJ</w:t>
                  </w:r>
                  <w:r>
                    <w:rPr>
                      <w:rFonts w:hint="eastAsia" w:ascii="Times New Roman" w:hAnsi="Times New Roman"/>
                      <w:kern w:val="0"/>
                      <w:szCs w:val="21"/>
                      <w:lang w:bidi="ar"/>
                    </w:rPr>
                    <w:t xml:space="preserve"> </w:t>
                  </w:r>
                  <w:r>
                    <w:rPr>
                      <w:rFonts w:ascii="Times New Roman" w:hAnsi="Times New Roman"/>
                      <w:kern w:val="0"/>
                      <w:szCs w:val="21"/>
                      <w:lang w:bidi="ar"/>
                    </w:rPr>
                    <w:t>1147-2020</w:t>
                  </w:r>
                </w:p>
              </w:tc>
              <w:tc>
                <w:tcPr>
                  <w:tcW w:w="2350" w:type="dxa"/>
                  <w:vAlign w:val="center"/>
                </w:tcPr>
                <w:p>
                  <w:pPr>
                    <w:widowControl/>
                    <w:jc w:val="center"/>
                    <w:textAlignment w:val="center"/>
                    <w:rPr>
                      <w:rFonts w:ascii="Times New Roman" w:hAnsi="Times New Roman"/>
                      <w:kern w:val="0"/>
                      <w:szCs w:val="21"/>
                      <w:lang w:bidi="ar"/>
                    </w:rPr>
                  </w:pPr>
                  <w:r>
                    <w:rPr>
                      <w:rFonts w:hint="eastAsia" w:ascii="Times New Roman" w:hAnsi="Times New Roman"/>
                      <w:kern w:val="0"/>
                      <w:szCs w:val="21"/>
                      <w:lang w:bidi="ar"/>
                    </w:rPr>
                    <w:t>实验室pH计</w:t>
                  </w:r>
                  <w:r>
                    <w:rPr>
                      <w:rFonts w:ascii="Times New Roman" w:hAnsi="Times New Roman"/>
                      <w:kern w:val="0"/>
                      <w:szCs w:val="21"/>
                      <w:lang w:bidi="ar"/>
                    </w:rPr>
                    <w:t>/</w:t>
                  </w:r>
                  <w:r>
                    <w:rPr>
                      <w:rFonts w:hint="eastAsia" w:ascii="Times New Roman" w:hAnsi="Times New Roman"/>
                      <w:kern w:val="0"/>
                      <w:szCs w:val="21"/>
                      <w:lang w:bidi="ar"/>
                    </w:rPr>
                    <w:t>FE20</w:t>
                  </w:r>
                  <w:r>
                    <w:rPr>
                      <w:rFonts w:ascii="Times New Roman" w:hAnsi="Times New Roman"/>
                      <w:kern w:val="0"/>
                      <w:szCs w:val="21"/>
                      <w:lang w:bidi="ar"/>
                    </w:rPr>
                    <w:t>/KXYQ-</w:t>
                  </w:r>
                  <w:r>
                    <w:rPr>
                      <w:rFonts w:hint="eastAsia" w:ascii="Times New Roman" w:hAnsi="Times New Roman"/>
                      <w:kern w:val="0"/>
                      <w:szCs w:val="21"/>
                      <w:lang w:bidi="ar"/>
                    </w:rPr>
                    <w:t>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Times New Roman" w:hAnsi="Times New Roman"/>
                      <w:szCs w:val="21"/>
                    </w:rPr>
                  </w:pPr>
                  <w:r>
                    <w:rPr>
                      <w:rFonts w:hint="eastAsia" w:ascii="Times New Roman" w:hAnsi="Times New Roman"/>
                      <w:szCs w:val="21"/>
                    </w:rPr>
                    <w:t>2</w:t>
                  </w:r>
                </w:p>
              </w:tc>
              <w:tc>
                <w:tcPr>
                  <w:tcW w:w="1276" w:type="dxa"/>
                  <w:vAlign w:val="center"/>
                </w:tcPr>
                <w:p>
                  <w:pPr>
                    <w:widowControl/>
                    <w:jc w:val="center"/>
                    <w:textAlignment w:val="center"/>
                    <w:rPr>
                      <w:rFonts w:ascii="Times New Roman" w:hAnsi="Times New Roman"/>
                      <w:kern w:val="0"/>
                      <w:szCs w:val="21"/>
                      <w:lang w:bidi="ar"/>
                    </w:rPr>
                  </w:pPr>
                  <w:r>
                    <w:rPr>
                      <w:rFonts w:hint="eastAsia" w:ascii="Times New Roman" w:hAnsi="Times New Roman"/>
                      <w:kern w:val="0"/>
                      <w:szCs w:val="21"/>
                      <w:lang w:bidi="ar"/>
                    </w:rPr>
                    <w:t>钙和镁总量</w:t>
                  </w:r>
                </w:p>
              </w:tc>
              <w:tc>
                <w:tcPr>
                  <w:tcW w:w="4082"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水质 钙和镁总量的测定EDTA 滴定法</w:t>
                  </w:r>
                </w:p>
                <w:p>
                  <w:pPr>
                    <w:widowControl/>
                    <w:jc w:val="center"/>
                    <w:textAlignment w:val="center"/>
                    <w:rPr>
                      <w:rFonts w:ascii="Times New Roman" w:hAnsi="Times New Roman"/>
                      <w:kern w:val="0"/>
                      <w:szCs w:val="21"/>
                      <w:lang w:bidi="ar"/>
                    </w:rPr>
                  </w:pPr>
                  <w:r>
                    <w:rPr>
                      <w:rFonts w:ascii="Times New Roman" w:hAnsi="Times New Roman"/>
                      <w:kern w:val="0"/>
                      <w:szCs w:val="21"/>
                      <w:lang w:bidi="ar"/>
                    </w:rPr>
                    <w:t>GB</w:t>
                  </w:r>
                  <w:r>
                    <w:rPr>
                      <w:rFonts w:hint="eastAsia" w:ascii="Times New Roman" w:hAnsi="Times New Roman"/>
                      <w:kern w:val="0"/>
                      <w:szCs w:val="21"/>
                      <w:lang w:bidi="ar"/>
                    </w:rPr>
                    <w:t xml:space="preserve"> </w:t>
                  </w:r>
                  <w:r>
                    <w:rPr>
                      <w:rFonts w:ascii="Times New Roman" w:hAnsi="Times New Roman"/>
                      <w:kern w:val="0"/>
                      <w:szCs w:val="21"/>
                      <w:lang w:bidi="ar"/>
                    </w:rPr>
                    <w:t>7477-87</w:t>
                  </w:r>
                </w:p>
              </w:tc>
              <w:tc>
                <w:tcPr>
                  <w:tcW w:w="2350"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碱式滴定管/50mL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Merge w:val="restart"/>
                  <w:vAlign w:val="center"/>
                </w:tcPr>
                <w:p>
                  <w:pPr>
                    <w:jc w:val="center"/>
                    <w:rPr>
                      <w:rFonts w:ascii="Times New Roman" w:hAnsi="Times New Roman"/>
                      <w:szCs w:val="21"/>
                    </w:rPr>
                  </w:pPr>
                  <w:r>
                    <w:rPr>
                      <w:rFonts w:hint="eastAsia" w:ascii="Times New Roman" w:hAnsi="Times New Roman"/>
                      <w:szCs w:val="21"/>
                    </w:rPr>
                    <w:t>3</w:t>
                  </w:r>
                </w:p>
              </w:tc>
              <w:tc>
                <w:tcPr>
                  <w:tcW w:w="1276" w:type="dxa"/>
                  <w:vMerge w:val="restart"/>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溶解性总固体</w:t>
                  </w:r>
                </w:p>
              </w:tc>
              <w:tc>
                <w:tcPr>
                  <w:tcW w:w="4082" w:type="dxa"/>
                  <w:vMerge w:val="restart"/>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生活饮用水标准检验方法 第 4 部分：感官性状和物理指标 GB/T 5750.4-2023（11.1 溶解性总固体 称量法）</w:t>
                  </w:r>
                </w:p>
              </w:tc>
              <w:tc>
                <w:tcPr>
                  <w:tcW w:w="2350"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电子天平/AUY220/KXYQ-016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Merge w:val="continue"/>
                  <w:vAlign w:val="center"/>
                </w:tcPr>
                <w:p>
                  <w:pPr>
                    <w:jc w:val="center"/>
                    <w:rPr>
                      <w:rFonts w:ascii="Times New Roman" w:hAnsi="Times New Roman"/>
                      <w:szCs w:val="21"/>
                    </w:rPr>
                  </w:pPr>
                </w:p>
              </w:tc>
              <w:tc>
                <w:tcPr>
                  <w:tcW w:w="1276" w:type="dxa"/>
                  <w:vMerge w:val="continue"/>
                  <w:vAlign w:val="center"/>
                </w:tcPr>
                <w:p>
                  <w:pPr>
                    <w:widowControl/>
                    <w:jc w:val="center"/>
                    <w:textAlignment w:val="center"/>
                    <w:rPr>
                      <w:rFonts w:ascii="Times New Roman" w:hAnsi="Times New Roman"/>
                      <w:kern w:val="0"/>
                      <w:szCs w:val="21"/>
                      <w:lang w:bidi="ar"/>
                    </w:rPr>
                  </w:pPr>
                </w:p>
              </w:tc>
              <w:tc>
                <w:tcPr>
                  <w:tcW w:w="4082" w:type="dxa"/>
                  <w:vMerge w:val="continue"/>
                  <w:vAlign w:val="center"/>
                </w:tcPr>
                <w:p>
                  <w:pPr>
                    <w:jc w:val="center"/>
                    <w:rPr>
                      <w:rFonts w:ascii="Times New Roman" w:hAnsi="Times New Roman"/>
                      <w:kern w:val="0"/>
                      <w:szCs w:val="21"/>
                      <w:lang w:bidi="ar"/>
                    </w:rPr>
                  </w:pPr>
                </w:p>
              </w:tc>
              <w:tc>
                <w:tcPr>
                  <w:tcW w:w="2350"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恒温干燥箱/101-3B/KXYQ-023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Times New Roman" w:hAnsi="Times New Roman"/>
                      <w:szCs w:val="21"/>
                    </w:rPr>
                  </w:pPr>
                  <w:r>
                    <w:rPr>
                      <w:rFonts w:hint="eastAsia" w:ascii="Times New Roman" w:hAnsi="Times New Roman"/>
                      <w:szCs w:val="21"/>
                    </w:rPr>
                    <w:t>4</w:t>
                  </w:r>
                </w:p>
              </w:tc>
              <w:tc>
                <w:tcPr>
                  <w:tcW w:w="1276"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硝酸盐氮</w:t>
                  </w:r>
                </w:p>
              </w:tc>
              <w:tc>
                <w:tcPr>
                  <w:tcW w:w="4082" w:type="dxa"/>
                  <w:vMerge w:val="restart"/>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水质 无机阴离子（F</w:t>
                  </w:r>
                  <w:r>
                    <w:rPr>
                      <w:rFonts w:ascii="Times New Roman" w:hAnsi="Times New Roman"/>
                      <w:kern w:val="0"/>
                      <w:szCs w:val="21"/>
                      <w:vertAlign w:val="superscript"/>
                      <w:lang w:bidi="ar"/>
                    </w:rPr>
                    <w:t>-</w:t>
                  </w:r>
                  <w:r>
                    <w:rPr>
                      <w:rFonts w:ascii="Times New Roman" w:hAnsi="Times New Roman"/>
                      <w:kern w:val="0"/>
                      <w:szCs w:val="21"/>
                      <w:lang w:bidi="ar"/>
                    </w:rPr>
                    <w:t>、Cl</w:t>
                  </w:r>
                  <w:r>
                    <w:rPr>
                      <w:rFonts w:ascii="Times New Roman" w:hAnsi="Times New Roman"/>
                      <w:kern w:val="0"/>
                      <w:szCs w:val="21"/>
                      <w:vertAlign w:val="superscript"/>
                      <w:lang w:bidi="ar"/>
                    </w:rPr>
                    <w:t>-</w:t>
                  </w:r>
                  <w:r>
                    <w:rPr>
                      <w:rFonts w:ascii="Times New Roman" w:hAnsi="Times New Roman"/>
                      <w:kern w:val="0"/>
                      <w:szCs w:val="21"/>
                      <w:lang w:bidi="ar"/>
                    </w:rPr>
                    <w:t>、NO</w:t>
                  </w:r>
                  <w:r>
                    <w:rPr>
                      <w:rFonts w:ascii="Times New Roman" w:hAnsi="Times New Roman"/>
                      <w:kern w:val="0"/>
                      <w:szCs w:val="21"/>
                      <w:vertAlign w:val="subscript"/>
                      <w:lang w:bidi="ar"/>
                    </w:rPr>
                    <w:t>2</w:t>
                  </w:r>
                  <w:r>
                    <w:rPr>
                      <w:rFonts w:ascii="Times New Roman" w:hAnsi="Times New Roman"/>
                      <w:kern w:val="0"/>
                      <w:szCs w:val="21"/>
                      <w:vertAlign w:val="superscript"/>
                      <w:lang w:bidi="ar"/>
                    </w:rPr>
                    <w:t>-</w:t>
                  </w:r>
                  <w:r>
                    <w:rPr>
                      <w:rFonts w:ascii="Times New Roman" w:hAnsi="Times New Roman"/>
                      <w:kern w:val="0"/>
                      <w:szCs w:val="21"/>
                      <w:lang w:bidi="ar"/>
                    </w:rPr>
                    <w:t>、Br</w:t>
                  </w:r>
                  <w:r>
                    <w:rPr>
                      <w:rFonts w:ascii="Times New Roman" w:hAnsi="Times New Roman"/>
                      <w:kern w:val="0"/>
                      <w:szCs w:val="21"/>
                      <w:vertAlign w:val="superscript"/>
                      <w:lang w:bidi="ar"/>
                    </w:rPr>
                    <w:t>-</w:t>
                  </w:r>
                  <w:r>
                    <w:rPr>
                      <w:rFonts w:ascii="Times New Roman" w:hAnsi="Times New Roman"/>
                      <w:kern w:val="0"/>
                      <w:szCs w:val="21"/>
                      <w:lang w:bidi="ar"/>
                    </w:rPr>
                    <w:t>、NO</w:t>
                  </w:r>
                  <w:r>
                    <w:rPr>
                      <w:rFonts w:ascii="Times New Roman" w:hAnsi="Times New Roman"/>
                      <w:kern w:val="0"/>
                      <w:szCs w:val="21"/>
                      <w:vertAlign w:val="subscript"/>
                      <w:lang w:bidi="ar"/>
                    </w:rPr>
                    <w:t>3</w:t>
                  </w:r>
                  <w:r>
                    <w:rPr>
                      <w:rFonts w:ascii="Times New Roman" w:hAnsi="Times New Roman"/>
                      <w:kern w:val="0"/>
                      <w:szCs w:val="21"/>
                      <w:vertAlign w:val="superscript"/>
                      <w:lang w:bidi="ar"/>
                    </w:rPr>
                    <w:t>-</w:t>
                  </w:r>
                  <w:r>
                    <w:rPr>
                      <w:rFonts w:ascii="Times New Roman" w:hAnsi="Times New Roman"/>
                      <w:kern w:val="0"/>
                      <w:szCs w:val="21"/>
                      <w:lang w:bidi="ar"/>
                    </w:rPr>
                    <w:t>、PO</w:t>
                  </w:r>
                  <w:r>
                    <w:rPr>
                      <w:rFonts w:ascii="Times New Roman" w:hAnsi="Times New Roman"/>
                      <w:kern w:val="0"/>
                      <w:szCs w:val="21"/>
                      <w:vertAlign w:val="subscript"/>
                      <w:lang w:bidi="ar"/>
                    </w:rPr>
                    <w:t>4</w:t>
                  </w:r>
                  <w:r>
                    <w:rPr>
                      <w:rFonts w:ascii="Times New Roman" w:hAnsi="Times New Roman"/>
                      <w:kern w:val="0"/>
                      <w:szCs w:val="21"/>
                      <w:vertAlign w:val="superscript"/>
                      <w:lang w:bidi="ar"/>
                    </w:rPr>
                    <w:t>3-</w:t>
                  </w:r>
                  <w:r>
                    <w:rPr>
                      <w:rFonts w:ascii="Times New Roman" w:hAnsi="Times New Roman"/>
                      <w:kern w:val="0"/>
                      <w:szCs w:val="21"/>
                      <w:lang w:bidi="ar"/>
                    </w:rPr>
                    <w:t>、SO</w:t>
                  </w:r>
                  <w:r>
                    <w:rPr>
                      <w:rFonts w:ascii="Times New Roman" w:hAnsi="Times New Roman"/>
                      <w:kern w:val="0"/>
                      <w:szCs w:val="21"/>
                      <w:vertAlign w:val="subscript"/>
                      <w:lang w:bidi="ar"/>
                    </w:rPr>
                    <w:t>3</w:t>
                  </w:r>
                  <w:r>
                    <w:rPr>
                      <w:rFonts w:ascii="Times New Roman" w:hAnsi="Times New Roman"/>
                      <w:kern w:val="0"/>
                      <w:szCs w:val="21"/>
                      <w:vertAlign w:val="superscript"/>
                      <w:lang w:bidi="ar"/>
                    </w:rPr>
                    <w:t>2-</w:t>
                  </w:r>
                  <w:r>
                    <w:rPr>
                      <w:rFonts w:ascii="Times New Roman" w:hAnsi="Times New Roman"/>
                      <w:kern w:val="0"/>
                      <w:szCs w:val="21"/>
                      <w:lang w:bidi="ar"/>
                    </w:rPr>
                    <w:t>、SO</w:t>
                  </w:r>
                  <w:r>
                    <w:rPr>
                      <w:rFonts w:ascii="Times New Roman" w:hAnsi="Times New Roman"/>
                      <w:kern w:val="0"/>
                      <w:szCs w:val="21"/>
                      <w:vertAlign w:val="subscript"/>
                      <w:lang w:bidi="ar"/>
                    </w:rPr>
                    <w:t>4</w:t>
                  </w:r>
                  <w:r>
                    <w:rPr>
                      <w:rFonts w:ascii="Times New Roman" w:hAnsi="Times New Roman"/>
                      <w:kern w:val="0"/>
                      <w:szCs w:val="21"/>
                      <w:vertAlign w:val="superscript"/>
                      <w:lang w:bidi="ar"/>
                    </w:rPr>
                    <w:t>2-</w:t>
                  </w:r>
                  <w:r>
                    <w:rPr>
                      <w:rFonts w:ascii="Times New Roman" w:hAnsi="Times New Roman"/>
                      <w:kern w:val="0"/>
                      <w:szCs w:val="21"/>
                      <w:lang w:bidi="ar"/>
                    </w:rPr>
                    <w:t>）的测定离子色谱法</w:t>
                  </w:r>
                </w:p>
                <w:p>
                  <w:pPr>
                    <w:widowControl/>
                    <w:jc w:val="center"/>
                    <w:textAlignment w:val="center"/>
                    <w:rPr>
                      <w:rFonts w:ascii="Times New Roman" w:hAnsi="Times New Roman"/>
                      <w:kern w:val="0"/>
                      <w:szCs w:val="21"/>
                      <w:lang w:bidi="ar"/>
                    </w:rPr>
                  </w:pPr>
                  <w:r>
                    <w:rPr>
                      <w:rFonts w:ascii="Times New Roman" w:hAnsi="Times New Roman"/>
                      <w:kern w:val="0"/>
                      <w:szCs w:val="21"/>
                      <w:lang w:bidi="ar"/>
                    </w:rPr>
                    <w:t>HJ</w:t>
                  </w:r>
                  <w:r>
                    <w:rPr>
                      <w:rFonts w:hint="eastAsia" w:ascii="Times New Roman" w:hAnsi="Times New Roman"/>
                      <w:kern w:val="0"/>
                      <w:szCs w:val="21"/>
                      <w:lang w:bidi="ar"/>
                    </w:rPr>
                    <w:t xml:space="preserve"> </w:t>
                  </w:r>
                  <w:r>
                    <w:rPr>
                      <w:rFonts w:ascii="Times New Roman" w:hAnsi="Times New Roman"/>
                      <w:kern w:val="0"/>
                      <w:szCs w:val="21"/>
                      <w:lang w:bidi="ar"/>
                    </w:rPr>
                    <w:t>84-2016</w:t>
                  </w:r>
                </w:p>
              </w:tc>
              <w:tc>
                <w:tcPr>
                  <w:tcW w:w="2350" w:type="dxa"/>
                  <w:vMerge w:val="restart"/>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离子色谱仪/ICS-900/KXYQ-005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Times New Roman" w:hAnsi="Times New Roman"/>
                      <w:szCs w:val="21"/>
                    </w:rPr>
                  </w:pPr>
                  <w:r>
                    <w:rPr>
                      <w:rFonts w:hint="eastAsia" w:ascii="Times New Roman" w:hAnsi="Times New Roman"/>
                      <w:szCs w:val="21"/>
                    </w:rPr>
                    <w:t>5</w:t>
                  </w:r>
                </w:p>
              </w:tc>
              <w:tc>
                <w:tcPr>
                  <w:tcW w:w="1276"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氟</w:t>
                  </w:r>
                  <w:r>
                    <w:rPr>
                      <w:rFonts w:hint="eastAsia" w:ascii="Times New Roman" w:hAnsi="Times New Roman"/>
                      <w:kern w:val="0"/>
                      <w:szCs w:val="21"/>
                      <w:lang w:bidi="ar"/>
                    </w:rPr>
                    <w:t>离子</w:t>
                  </w:r>
                </w:p>
              </w:tc>
              <w:tc>
                <w:tcPr>
                  <w:tcW w:w="4082" w:type="dxa"/>
                  <w:vMerge w:val="continue"/>
                  <w:vAlign w:val="center"/>
                </w:tcPr>
                <w:p>
                  <w:pPr>
                    <w:widowControl/>
                    <w:jc w:val="center"/>
                    <w:textAlignment w:val="center"/>
                    <w:rPr>
                      <w:rFonts w:ascii="Times New Roman" w:hAnsi="Times New Roman"/>
                      <w:kern w:val="0"/>
                      <w:szCs w:val="21"/>
                      <w:lang w:bidi="ar"/>
                    </w:rPr>
                  </w:pPr>
                </w:p>
              </w:tc>
              <w:tc>
                <w:tcPr>
                  <w:tcW w:w="2350" w:type="dxa"/>
                  <w:vMerge w:val="continue"/>
                  <w:vAlign w:val="center"/>
                </w:tcPr>
                <w:p>
                  <w:pPr>
                    <w:widowControl/>
                    <w:jc w:val="center"/>
                    <w:textAlignment w:val="center"/>
                    <w:rPr>
                      <w:rFonts w:ascii="Times New Roman" w:hAnsi="Times New Roman"/>
                      <w:kern w:val="0"/>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Times New Roman" w:hAnsi="Times New Roman"/>
                      <w:szCs w:val="21"/>
                    </w:rPr>
                  </w:pPr>
                  <w:r>
                    <w:rPr>
                      <w:rFonts w:hint="eastAsia" w:ascii="Times New Roman" w:hAnsi="Times New Roman"/>
                      <w:szCs w:val="21"/>
                    </w:rPr>
                    <w:t>6</w:t>
                  </w:r>
                </w:p>
              </w:tc>
              <w:tc>
                <w:tcPr>
                  <w:tcW w:w="1276" w:type="dxa"/>
                  <w:vAlign w:val="center"/>
                </w:tcPr>
                <w:p>
                  <w:pPr>
                    <w:widowControl/>
                    <w:jc w:val="center"/>
                    <w:textAlignment w:val="center"/>
                    <w:rPr>
                      <w:rFonts w:ascii="Times New Roman" w:hAnsi="Times New Roman"/>
                      <w:kern w:val="0"/>
                      <w:szCs w:val="21"/>
                      <w:lang w:bidi="ar"/>
                    </w:rPr>
                  </w:pPr>
                  <w:r>
                    <w:rPr>
                      <w:rFonts w:hint="eastAsia" w:ascii="Times New Roman" w:hAnsi="Times New Roman"/>
                      <w:kern w:val="0"/>
                      <w:szCs w:val="21"/>
                      <w:lang w:bidi="ar"/>
                    </w:rPr>
                    <w:t>氯离子</w:t>
                  </w:r>
                </w:p>
              </w:tc>
              <w:tc>
                <w:tcPr>
                  <w:tcW w:w="4082" w:type="dxa"/>
                  <w:vMerge w:val="continue"/>
                  <w:vAlign w:val="center"/>
                </w:tcPr>
                <w:p>
                  <w:pPr>
                    <w:widowControl/>
                    <w:jc w:val="center"/>
                    <w:textAlignment w:val="center"/>
                    <w:rPr>
                      <w:rFonts w:ascii="Times New Roman" w:hAnsi="Times New Roman"/>
                      <w:kern w:val="0"/>
                      <w:szCs w:val="21"/>
                      <w:lang w:bidi="ar"/>
                    </w:rPr>
                  </w:pPr>
                </w:p>
              </w:tc>
              <w:tc>
                <w:tcPr>
                  <w:tcW w:w="2350" w:type="dxa"/>
                  <w:vMerge w:val="continue"/>
                  <w:vAlign w:val="center"/>
                </w:tcPr>
                <w:p>
                  <w:pPr>
                    <w:widowControl/>
                    <w:jc w:val="center"/>
                    <w:textAlignment w:val="center"/>
                    <w:rPr>
                      <w:rFonts w:ascii="Times New Roman" w:hAnsi="Times New Roman"/>
                      <w:kern w:val="0"/>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Times New Roman" w:hAnsi="Times New Roman"/>
                      <w:szCs w:val="21"/>
                    </w:rPr>
                  </w:pPr>
                  <w:r>
                    <w:rPr>
                      <w:rFonts w:hint="eastAsia" w:ascii="Times New Roman" w:hAnsi="Times New Roman"/>
                      <w:szCs w:val="21"/>
                    </w:rPr>
                    <w:t>7</w:t>
                  </w:r>
                </w:p>
              </w:tc>
              <w:tc>
                <w:tcPr>
                  <w:tcW w:w="1276" w:type="dxa"/>
                  <w:vAlign w:val="center"/>
                </w:tcPr>
                <w:p>
                  <w:pPr>
                    <w:widowControl/>
                    <w:jc w:val="center"/>
                    <w:textAlignment w:val="center"/>
                    <w:rPr>
                      <w:rFonts w:ascii="Times New Roman" w:hAnsi="Times New Roman"/>
                      <w:kern w:val="0"/>
                      <w:szCs w:val="21"/>
                      <w:lang w:bidi="ar"/>
                    </w:rPr>
                  </w:pPr>
                  <w:r>
                    <w:rPr>
                      <w:rFonts w:hint="eastAsia" w:ascii="Times New Roman" w:hAnsi="Times New Roman"/>
                      <w:kern w:val="0"/>
                      <w:szCs w:val="21"/>
                      <w:lang w:bidi="ar"/>
                    </w:rPr>
                    <w:t>硫酸根</w:t>
                  </w:r>
                </w:p>
              </w:tc>
              <w:tc>
                <w:tcPr>
                  <w:tcW w:w="4082" w:type="dxa"/>
                  <w:vMerge w:val="continue"/>
                  <w:vAlign w:val="center"/>
                </w:tcPr>
                <w:p>
                  <w:pPr>
                    <w:widowControl/>
                    <w:jc w:val="center"/>
                    <w:textAlignment w:val="center"/>
                    <w:rPr>
                      <w:rFonts w:ascii="Times New Roman" w:hAnsi="Times New Roman"/>
                      <w:kern w:val="0"/>
                      <w:szCs w:val="21"/>
                      <w:lang w:bidi="ar"/>
                    </w:rPr>
                  </w:pPr>
                </w:p>
              </w:tc>
              <w:tc>
                <w:tcPr>
                  <w:tcW w:w="2350" w:type="dxa"/>
                  <w:vMerge w:val="continue"/>
                  <w:vAlign w:val="center"/>
                </w:tcPr>
                <w:p>
                  <w:pPr>
                    <w:widowControl/>
                    <w:jc w:val="center"/>
                    <w:textAlignment w:val="center"/>
                    <w:rPr>
                      <w:rFonts w:ascii="Times New Roman" w:hAnsi="Times New Roman"/>
                      <w:kern w:val="0"/>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Times New Roman" w:hAnsi="Times New Roman"/>
                      <w:szCs w:val="21"/>
                    </w:rPr>
                  </w:pPr>
                  <w:r>
                    <w:rPr>
                      <w:rFonts w:hint="eastAsia" w:ascii="Times New Roman" w:hAnsi="Times New Roman"/>
                      <w:szCs w:val="21"/>
                    </w:rPr>
                    <w:t>8</w:t>
                  </w:r>
                </w:p>
              </w:tc>
              <w:tc>
                <w:tcPr>
                  <w:tcW w:w="1276"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亚硝酸盐氮</w:t>
                  </w:r>
                </w:p>
              </w:tc>
              <w:tc>
                <w:tcPr>
                  <w:tcW w:w="4082"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 xml:space="preserve">水质 亚硝酸盐氮的测定 分光光度法 </w:t>
                  </w:r>
                </w:p>
                <w:p>
                  <w:pPr>
                    <w:widowControl/>
                    <w:jc w:val="center"/>
                    <w:textAlignment w:val="center"/>
                    <w:rPr>
                      <w:rFonts w:ascii="Times New Roman" w:hAnsi="Times New Roman"/>
                      <w:kern w:val="0"/>
                      <w:szCs w:val="21"/>
                      <w:lang w:bidi="ar"/>
                    </w:rPr>
                  </w:pPr>
                  <w:r>
                    <w:rPr>
                      <w:rFonts w:ascii="Times New Roman" w:hAnsi="Times New Roman"/>
                      <w:kern w:val="0"/>
                      <w:szCs w:val="21"/>
                      <w:lang w:bidi="ar"/>
                    </w:rPr>
                    <w:t>GB 7493-87</w:t>
                  </w:r>
                </w:p>
              </w:tc>
              <w:tc>
                <w:tcPr>
                  <w:tcW w:w="2350"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紫外可见分光光度计/UV-1800D/KXYQ-015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Times New Roman" w:hAnsi="Times New Roman"/>
                      <w:szCs w:val="21"/>
                    </w:rPr>
                  </w:pPr>
                  <w:r>
                    <w:rPr>
                      <w:rFonts w:hint="eastAsia" w:ascii="Times New Roman" w:hAnsi="Times New Roman"/>
                      <w:szCs w:val="21"/>
                    </w:rPr>
                    <w:t>9</w:t>
                  </w:r>
                </w:p>
              </w:tc>
              <w:tc>
                <w:tcPr>
                  <w:tcW w:w="1276"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氨氮</w:t>
                  </w:r>
                </w:p>
              </w:tc>
              <w:tc>
                <w:tcPr>
                  <w:tcW w:w="4082"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 xml:space="preserve">水质 氨氮的测定 纳氏试剂分光光度法 </w:t>
                  </w:r>
                </w:p>
                <w:p>
                  <w:pPr>
                    <w:widowControl/>
                    <w:jc w:val="center"/>
                    <w:textAlignment w:val="center"/>
                    <w:rPr>
                      <w:rFonts w:ascii="Times New Roman" w:hAnsi="Times New Roman"/>
                      <w:kern w:val="0"/>
                      <w:szCs w:val="21"/>
                      <w:lang w:bidi="ar"/>
                    </w:rPr>
                  </w:pPr>
                  <w:r>
                    <w:rPr>
                      <w:rFonts w:ascii="Times New Roman" w:hAnsi="Times New Roman"/>
                      <w:kern w:val="0"/>
                      <w:szCs w:val="21"/>
                      <w:lang w:bidi="ar"/>
                    </w:rPr>
                    <w:t>HJ 535-2009</w:t>
                  </w:r>
                </w:p>
              </w:tc>
              <w:tc>
                <w:tcPr>
                  <w:tcW w:w="2350"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紫外可见分光光度计/UV-1800D/KXYQ-015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Times New Roman" w:hAnsi="Times New Roman"/>
                      <w:szCs w:val="21"/>
                    </w:rPr>
                  </w:pPr>
                  <w:r>
                    <w:rPr>
                      <w:rFonts w:hint="eastAsia" w:ascii="Times New Roman" w:hAnsi="Times New Roman"/>
                      <w:szCs w:val="21"/>
                    </w:rPr>
                    <w:t>10</w:t>
                  </w:r>
                </w:p>
              </w:tc>
              <w:tc>
                <w:tcPr>
                  <w:tcW w:w="1276"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挥发</w:t>
                  </w:r>
                  <w:r>
                    <w:rPr>
                      <w:rFonts w:hint="eastAsia" w:ascii="Times New Roman" w:hAnsi="Times New Roman"/>
                      <w:kern w:val="0"/>
                      <w:szCs w:val="21"/>
                      <w:lang w:bidi="ar"/>
                    </w:rPr>
                    <w:t>酚</w:t>
                  </w:r>
                </w:p>
              </w:tc>
              <w:tc>
                <w:tcPr>
                  <w:tcW w:w="4082"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水质 挥发酚的测定 4-氨基安替比林分光光度法 HJ 503-2009（方法 1 萃取分光光度法）</w:t>
                  </w:r>
                </w:p>
              </w:tc>
              <w:tc>
                <w:tcPr>
                  <w:tcW w:w="2350"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紫外可见分光光度计/UV-1800D/KXYQ-015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Times New Roman" w:hAnsi="Times New Roman"/>
                      <w:szCs w:val="21"/>
                    </w:rPr>
                  </w:pPr>
                  <w:r>
                    <w:rPr>
                      <w:rFonts w:hint="eastAsia" w:ascii="Times New Roman" w:hAnsi="Times New Roman"/>
                      <w:szCs w:val="21"/>
                    </w:rPr>
                    <w:t>11</w:t>
                  </w:r>
                </w:p>
              </w:tc>
              <w:tc>
                <w:tcPr>
                  <w:tcW w:w="1276"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氰化物</w:t>
                  </w:r>
                </w:p>
              </w:tc>
              <w:tc>
                <w:tcPr>
                  <w:tcW w:w="4082"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生活饮用水标准检验方法 第 5 部分：无机非金属指标 GB/T 5750.5-2023（7.1 氰化物 异烟酸-吡唑啉酮分光光度法）</w:t>
                  </w:r>
                </w:p>
              </w:tc>
              <w:tc>
                <w:tcPr>
                  <w:tcW w:w="2350"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紫外可见分光光度计/UV-1800D/KXYQ-015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12</w:t>
                  </w:r>
                </w:p>
              </w:tc>
              <w:tc>
                <w:tcPr>
                  <w:tcW w:w="1276"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铬（六价）</w:t>
                  </w:r>
                </w:p>
              </w:tc>
              <w:tc>
                <w:tcPr>
                  <w:tcW w:w="4082"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生活饮用水标准检验方法 第 6 部分：金属和类金属指标 GB/T 5750.6-2023（13.1 铬（六价） 二苯碳酰二肼分光光度法）</w:t>
                  </w:r>
                </w:p>
              </w:tc>
              <w:tc>
                <w:tcPr>
                  <w:tcW w:w="2350"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紫外可见分光光度计/UV-1800D/KXYQ-015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13</w:t>
                  </w:r>
                </w:p>
              </w:tc>
              <w:tc>
                <w:tcPr>
                  <w:tcW w:w="1276"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高锰酸盐指数</w:t>
                  </w:r>
                </w:p>
              </w:tc>
              <w:tc>
                <w:tcPr>
                  <w:tcW w:w="4082"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水质 高锰酸盐指数的测定GB</w:t>
                  </w:r>
                  <w:r>
                    <w:rPr>
                      <w:rFonts w:hint="eastAsia" w:ascii="Times New Roman" w:hAnsi="Times New Roman"/>
                      <w:kern w:val="0"/>
                      <w:szCs w:val="21"/>
                      <w:lang w:bidi="ar"/>
                    </w:rPr>
                    <w:t xml:space="preserve"> </w:t>
                  </w:r>
                  <w:r>
                    <w:rPr>
                      <w:rFonts w:ascii="Times New Roman" w:hAnsi="Times New Roman"/>
                      <w:kern w:val="0"/>
                      <w:szCs w:val="21"/>
                      <w:lang w:bidi="ar"/>
                    </w:rPr>
                    <w:t>11892-89</w:t>
                  </w:r>
                </w:p>
              </w:tc>
              <w:tc>
                <w:tcPr>
                  <w:tcW w:w="2350"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酸式滴定管/25mL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14</w:t>
                  </w:r>
                </w:p>
              </w:tc>
              <w:tc>
                <w:tcPr>
                  <w:tcW w:w="1276"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铁</w:t>
                  </w:r>
                </w:p>
              </w:tc>
              <w:tc>
                <w:tcPr>
                  <w:tcW w:w="4082"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水质 铁、锰的测定 火焰原子吸收分光光度法GB</w:t>
                  </w:r>
                  <w:r>
                    <w:rPr>
                      <w:rFonts w:hint="eastAsia" w:ascii="Times New Roman" w:hAnsi="Times New Roman"/>
                      <w:kern w:val="0"/>
                      <w:szCs w:val="21"/>
                      <w:lang w:bidi="ar"/>
                    </w:rPr>
                    <w:t xml:space="preserve"> </w:t>
                  </w:r>
                  <w:r>
                    <w:rPr>
                      <w:rFonts w:ascii="Times New Roman" w:hAnsi="Times New Roman"/>
                      <w:kern w:val="0"/>
                      <w:szCs w:val="21"/>
                      <w:lang w:bidi="ar"/>
                    </w:rPr>
                    <w:t>11911-89</w:t>
                  </w:r>
                </w:p>
              </w:tc>
              <w:tc>
                <w:tcPr>
                  <w:tcW w:w="2350"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原子吸收分光光度计/TAS-990AFG/KXYQ-001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15</w:t>
                  </w:r>
                </w:p>
              </w:tc>
              <w:tc>
                <w:tcPr>
                  <w:tcW w:w="1276"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锰</w:t>
                  </w:r>
                </w:p>
              </w:tc>
              <w:tc>
                <w:tcPr>
                  <w:tcW w:w="4082"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水质 铁、锰的测定 火焰原子吸收分光光度法GB</w:t>
                  </w:r>
                  <w:r>
                    <w:rPr>
                      <w:rFonts w:hint="eastAsia" w:ascii="Times New Roman" w:hAnsi="Times New Roman"/>
                      <w:kern w:val="0"/>
                      <w:szCs w:val="21"/>
                      <w:lang w:bidi="ar"/>
                    </w:rPr>
                    <w:t xml:space="preserve"> </w:t>
                  </w:r>
                  <w:r>
                    <w:rPr>
                      <w:rFonts w:ascii="Times New Roman" w:hAnsi="Times New Roman"/>
                      <w:kern w:val="0"/>
                      <w:szCs w:val="21"/>
                      <w:lang w:bidi="ar"/>
                    </w:rPr>
                    <w:t>11911-89</w:t>
                  </w:r>
                </w:p>
              </w:tc>
              <w:tc>
                <w:tcPr>
                  <w:tcW w:w="2350"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原子吸收分光光度计/TAS-990AFG/KXYQ-001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16</w:t>
                  </w:r>
                </w:p>
              </w:tc>
              <w:tc>
                <w:tcPr>
                  <w:tcW w:w="1276"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汞</w:t>
                  </w:r>
                </w:p>
              </w:tc>
              <w:tc>
                <w:tcPr>
                  <w:tcW w:w="4082"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水质 总汞的测定 冷原子吸收分光光度法HJ</w:t>
                  </w:r>
                  <w:r>
                    <w:rPr>
                      <w:rFonts w:hint="eastAsia" w:ascii="Times New Roman" w:hAnsi="Times New Roman"/>
                      <w:kern w:val="0"/>
                      <w:szCs w:val="21"/>
                      <w:lang w:bidi="ar"/>
                    </w:rPr>
                    <w:t xml:space="preserve"> </w:t>
                  </w:r>
                  <w:r>
                    <w:rPr>
                      <w:rFonts w:ascii="Times New Roman" w:hAnsi="Times New Roman"/>
                      <w:kern w:val="0"/>
                      <w:szCs w:val="21"/>
                      <w:lang w:bidi="ar"/>
                    </w:rPr>
                    <w:t>597-2011</w:t>
                  </w:r>
                </w:p>
              </w:tc>
              <w:tc>
                <w:tcPr>
                  <w:tcW w:w="2350"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微分测汞仪/</w:t>
                  </w:r>
                  <w:r>
                    <w:rPr>
                      <w:rFonts w:hint="eastAsia" w:ascii="Times New Roman" w:hAnsi="Times New Roman"/>
                      <w:kern w:val="0"/>
                      <w:szCs w:val="21"/>
                      <w:lang w:bidi="ar"/>
                    </w:rPr>
                    <w:t>BG-201</w:t>
                  </w:r>
                  <w:r>
                    <w:rPr>
                      <w:rFonts w:ascii="Times New Roman" w:hAnsi="Times New Roman"/>
                      <w:kern w:val="0"/>
                      <w:szCs w:val="21"/>
                      <w:lang w:bidi="ar"/>
                    </w:rPr>
                    <w:t>/KXYQ-</w:t>
                  </w:r>
                  <w:r>
                    <w:rPr>
                      <w:rFonts w:hint="eastAsia" w:ascii="Times New Roman" w:hAnsi="Times New Roman"/>
                      <w:kern w:val="0"/>
                      <w:szCs w:val="21"/>
                      <w:lang w:bidi="ar"/>
                    </w:rPr>
                    <w:t>124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17</w:t>
                  </w:r>
                </w:p>
              </w:tc>
              <w:tc>
                <w:tcPr>
                  <w:tcW w:w="1276"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砷</w:t>
                  </w:r>
                  <w:r>
                    <w:rPr>
                      <w:rFonts w:hint="eastAsia" w:ascii="Times New Roman" w:hAnsi="Times New Roman"/>
                      <w:kern w:val="0"/>
                      <w:szCs w:val="21"/>
                      <w:lang w:bidi="ar"/>
                    </w:rPr>
                    <w:t>*</w:t>
                  </w:r>
                </w:p>
              </w:tc>
              <w:tc>
                <w:tcPr>
                  <w:tcW w:w="4082"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水质 汞、砷、硒、铋和锑的测定 原子荧光法HJ</w:t>
                  </w:r>
                  <w:r>
                    <w:rPr>
                      <w:rFonts w:hint="eastAsia" w:ascii="Times New Roman" w:hAnsi="Times New Roman"/>
                      <w:kern w:val="0"/>
                      <w:szCs w:val="21"/>
                      <w:lang w:bidi="ar"/>
                    </w:rPr>
                    <w:t xml:space="preserve"> </w:t>
                  </w:r>
                  <w:r>
                    <w:rPr>
                      <w:rFonts w:ascii="Times New Roman" w:hAnsi="Times New Roman"/>
                      <w:kern w:val="0"/>
                      <w:szCs w:val="21"/>
                      <w:lang w:bidi="ar"/>
                    </w:rPr>
                    <w:t>694-2014</w:t>
                  </w:r>
                </w:p>
              </w:tc>
              <w:tc>
                <w:tcPr>
                  <w:tcW w:w="2350"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非色散原子荧光光度计/PF6-2/KXYQ-002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18</w:t>
                  </w:r>
                </w:p>
              </w:tc>
              <w:tc>
                <w:tcPr>
                  <w:tcW w:w="1276"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铅</w:t>
                  </w:r>
                </w:p>
              </w:tc>
              <w:tc>
                <w:tcPr>
                  <w:tcW w:w="4082"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铜、铅、镉 石墨炉原子吸收法《水和废水监测分析方法》（第四版）国家环境保护总局（2002 年）</w:t>
                  </w:r>
                </w:p>
              </w:tc>
              <w:tc>
                <w:tcPr>
                  <w:tcW w:w="2350"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原子吸收分光光度计/TAS-990AFG/KXYQ-001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19</w:t>
                  </w:r>
                </w:p>
              </w:tc>
              <w:tc>
                <w:tcPr>
                  <w:tcW w:w="1276"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镉</w:t>
                  </w:r>
                </w:p>
              </w:tc>
              <w:tc>
                <w:tcPr>
                  <w:tcW w:w="4082"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铜、铅、镉 石墨炉原子吸收法《水和废水监测分析方法》（第四版）国家环境保护总局（2002 年）</w:t>
                  </w:r>
                </w:p>
              </w:tc>
              <w:tc>
                <w:tcPr>
                  <w:tcW w:w="2350"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原子吸收分光光度计/TAS-990AFG/KXYQ-001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20</w:t>
                  </w:r>
                </w:p>
              </w:tc>
              <w:tc>
                <w:tcPr>
                  <w:tcW w:w="1276"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总大肠菌群</w:t>
                  </w:r>
                </w:p>
              </w:tc>
              <w:tc>
                <w:tcPr>
                  <w:tcW w:w="4082"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总大肠菌群 多管发酵法《水和废水监测分析方法》（第四版）国家环境保护总局 （2002年）</w:t>
                  </w:r>
                </w:p>
              </w:tc>
              <w:tc>
                <w:tcPr>
                  <w:tcW w:w="2350"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恒温培养箱/303-3B/KXYQ-02</w:t>
                  </w:r>
                  <w:r>
                    <w:rPr>
                      <w:rFonts w:hint="eastAsia" w:ascii="Times New Roman" w:hAnsi="Times New Roman"/>
                      <w:kern w:val="0"/>
                      <w:szCs w:val="21"/>
                      <w:lang w:bidi="ar"/>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21</w:t>
                  </w:r>
                </w:p>
              </w:tc>
              <w:tc>
                <w:tcPr>
                  <w:tcW w:w="1276" w:type="dxa"/>
                  <w:vAlign w:val="center"/>
                </w:tcPr>
                <w:p>
                  <w:pPr>
                    <w:widowControl/>
                    <w:jc w:val="center"/>
                    <w:textAlignment w:val="center"/>
                    <w:rPr>
                      <w:rFonts w:ascii="Calibri" w:hAnsi="Calibri"/>
                      <w:kern w:val="0"/>
                      <w:szCs w:val="21"/>
                      <w:lang w:bidi="ar"/>
                    </w:rPr>
                  </w:pPr>
                  <w:r>
                    <w:rPr>
                      <w:rFonts w:hint="eastAsia" w:ascii="Times New Roman" w:hAnsi="Times New Roman"/>
                      <w:kern w:val="0"/>
                      <w:szCs w:val="21"/>
                      <w:lang w:bidi="ar"/>
                    </w:rPr>
                    <w:t>细菌</w:t>
                  </w:r>
                  <w:r>
                    <w:rPr>
                      <w:rFonts w:ascii="Times New Roman" w:hAnsi="Times New Roman"/>
                      <w:kern w:val="0"/>
                      <w:szCs w:val="21"/>
                      <w:lang w:bidi="ar"/>
                    </w:rPr>
                    <w:t>总数</w:t>
                  </w:r>
                </w:p>
              </w:tc>
              <w:tc>
                <w:tcPr>
                  <w:tcW w:w="4082" w:type="dxa"/>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 xml:space="preserve">水质 细菌总数的测定 平皿计数法 </w:t>
                  </w:r>
                </w:p>
                <w:p>
                  <w:pPr>
                    <w:widowControl/>
                    <w:jc w:val="center"/>
                    <w:textAlignment w:val="center"/>
                    <w:rPr>
                      <w:rFonts w:ascii="Calibri" w:hAnsi="Calibri"/>
                      <w:kern w:val="0"/>
                      <w:szCs w:val="21"/>
                      <w:lang w:bidi="ar"/>
                    </w:rPr>
                  </w:pPr>
                  <w:r>
                    <w:rPr>
                      <w:rFonts w:ascii="Times New Roman" w:hAnsi="Times New Roman"/>
                      <w:kern w:val="0"/>
                      <w:szCs w:val="21"/>
                      <w:lang w:bidi="ar"/>
                    </w:rPr>
                    <w:t>HJ 1000-2018</w:t>
                  </w:r>
                </w:p>
              </w:tc>
              <w:tc>
                <w:tcPr>
                  <w:tcW w:w="2350"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恒温培养箱/303-3B/KXYQ-025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22</w:t>
                  </w:r>
                </w:p>
              </w:tc>
              <w:tc>
                <w:tcPr>
                  <w:tcW w:w="1276"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硫酸盐</w:t>
                  </w:r>
                </w:p>
              </w:tc>
              <w:tc>
                <w:tcPr>
                  <w:tcW w:w="4082" w:type="dxa"/>
                  <w:vMerge w:val="restart"/>
                  <w:vAlign w:val="center"/>
                </w:tcPr>
                <w:p>
                  <w:pPr>
                    <w:widowControl/>
                    <w:jc w:val="center"/>
                    <w:textAlignment w:val="center"/>
                    <w:rPr>
                      <w:rFonts w:ascii="Times New Roman" w:hAnsi="Times New Roman"/>
                      <w:kern w:val="0"/>
                      <w:szCs w:val="21"/>
                      <w:lang w:bidi="ar"/>
                    </w:rPr>
                  </w:pPr>
                  <w:r>
                    <w:rPr>
                      <w:rFonts w:ascii="Times New Roman" w:hAnsi="Times New Roman"/>
                      <w:kern w:val="0"/>
                      <w:szCs w:val="21"/>
                      <w:lang w:bidi="ar"/>
                    </w:rPr>
                    <w:t>水质 无机阴离子（F</w:t>
                  </w:r>
                  <w:r>
                    <w:rPr>
                      <w:rFonts w:ascii="Times New Roman" w:hAnsi="Times New Roman"/>
                      <w:kern w:val="0"/>
                      <w:szCs w:val="21"/>
                      <w:vertAlign w:val="superscript"/>
                      <w:lang w:bidi="ar"/>
                    </w:rPr>
                    <w:t>-</w:t>
                  </w:r>
                  <w:r>
                    <w:rPr>
                      <w:rFonts w:ascii="Times New Roman" w:hAnsi="Times New Roman"/>
                      <w:kern w:val="0"/>
                      <w:szCs w:val="21"/>
                      <w:lang w:bidi="ar"/>
                    </w:rPr>
                    <w:t>、Cl</w:t>
                  </w:r>
                  <w:r>
                    <w:rPr>
                      <w:rFonts w:ascii="Times New Roman" w:hAnsi="Times New Roman"/>
                      <w:kern w:val="0"/>
                      <w:szCs w:val="21"/>
                      <w:vertAlign w:val="superscript"/>
                      <w:lang w:bidi="ar"/>
                    </w:rPr>
                    <w:t>-</w:t>
                  </w:r>
                  <w:r>
                    <w:rPr>
                      <w:rFonts w:ascii="Times New Roman" w:hAnsi="Times New Roman"/>
                      <w:kern w:val="0"/>
                      <w:szCs w:val="21"/>
                      <w:lang w:bidi="ar"/>
                    </w:rPr>
                    <w:t>、NO</w:t>
                  </w:r>
                  <w:r>
                    <w:rPr>
                      <w:rFonts w:ascii="Times New Roman" w:hAnsi="Times New Roman"/>
                      <w:kern w:val="0"/>
                      <w:szCs w:val="21"/>
                      <w:vertAlign w:val="subscript"/>
                      <w:lang w:bidi="ar"/>
                    </w:rPr>
                    <w:t>2</w:t>
                  </w:r>
                  <w:r>
                    <w:rPr>
                      <w:rFonts w:ascii="Times New Roman" w:hAnsi="Times New Roman"/>
                      <w:kern w:val="0"/>
                      <w:szCs w:val="21"/>
                      <w:vertAlign w:val="superscript"/>
                      <w:lang w:bidi="ar"/>
                    </w:rPr>
                    <w:t>-</w:t>
                  </w:r>
                  <w:r>
                    <w:rPr>
                      <w:rFonts w:ascii="Times New Roman" w:hAnsi="Times New Roman"/>
                      <w:kern w:val="0"/>
                      <w:szCs w:val="21"/>
                      <w:lang w:bidi="ar"/>
                    </w:rPr>
                    <w:t>、Br</w:t>
                  </w:r>
                  <w:r>
                    <w:rPr>
                      <w:rFonts w:ascii="Times New Roman" w:hAnsi="Times New Roman"/>
                      <w:kern w:val="0"/>
                      <w:szCs w:val="21"/>
                      <w:vertAlign w:val="superscript"/>
                      <w:lang w:bidi="ar"/>
                    </w:rPr>
                    <w:t>-</w:t>
                  </w:r>
                  <w:r>
                    <w:rPr>
                      <w:rFonts w:ascii="Times New Roman" w:hAnsi="Times New Roman"/>
                      <w:kern w:val="0"/>
                      <w:szCs w:val="21"/>
                      <w:lang w:bidi="ar"/>
                    </w:rPr>
                    <w:t>、NO</w:t>
                  </w:r>
                  <w:r>
                    <w:rPr>
                      <w:rFonts w:ascii="Times New Roman" w:hAnsi="Times New Roman"/>
                      <w:kern w:val="0"/>
                      <w:szCs w:val="21"/>
                      <w:vertAlign w:val="subscript"/>
                      <w:lang w:bidi="ar"/>
                    </w:rPr>
                    <w:t>3</w:t>
                  </w:r>
                  <w:r>
                    <w:rPr>
                      <w:rFonts w:ascii="Times New Roman" w:hAnsi="Times New Roman"/>
                      <w:kern w:val="0"/>
                      <w:szCs w:val="21"/>
                      <w:vertAlign w:val="superscript"/>
                      <w:lang w:bidi="ar"/>
                    </w:rPr>
                    <w:t>-</w:t>
                  </w:r>
                  <w:r>
                    <w:rPr>
                      <w:rFonts w:ascii="Times New Roman" w:hAnsi="Times New Roman"/>
                      <w:kern w:val="0"/>
                      <w:szCs w:val="21"/>
                      <w:lang w:bidi="ar"/>
                    </w:rPr>
                    <w:t>、PO</w:t>
                  </w:r>
                  <w:r>
                    <w:rPr>
                      <w:rFonts w:ascii="Times New Roman" w:hAnsi="Times New Roman"/>
                      <w:kern w:val="0"/>
                      <w:szCs w:val="21"/>
                      <w:vertAlign w:val="subscript"/>
                      <w:lang w:bidi="ar"/>
                    </w:rPr>
                    <w:t>4</w:t>
                  </w:r>
                  <w:r>
                    <w:rPr>
                      <w:rFonts w:ascii="Times New Roman" w:hAnsi="Times New Roman"/>
                      <w:kern w:val="0"/>
                      <w:szCs w:val="21"/>
                      <w:vertAlign w:val="superscript"/>
                      <w:lang w:bidi="ar"/>
                    </w:rPr>
                    <w:t>3-</w:t>
                  </w:r>
                  <w:r>
                    <w:rPr>
                      <w:rFonts w:ascii="Times New Roman" w:hAnsi="Times New Roman"/>
                      <w:kern w:val="0"/>
                      <w:szCs w:val="21"/>
                      <w:lang w:bidi="ar"/>
                    </w:rPr>
                    <w:t>、SO</w:t>
                  </w:r>
                  <w:r>
                    <w:rPr>
                      <w:rFonts w:ascii="Times New Roman" w:hAnsi="Times New Roman"/>
                      <w:kern w:val="0"/>
                      <w:szCs w:val="21"/>
                      <w:vertAlign w:val="subscript"/>
                      <w:lang w:bidi="ar"/>
                    </w:rPr>
                    <w:t>3</w:t>
                  </w:r>
                  <w:r>
                    <w:rPr>
                      <w:rFonts w:ascii="Times New Roman" w:hAnsi="Times New Roman"/>
                      <w:kern w:val="0"/>
                      <w:szCs w:val="21"/>
                      <w:vertAlign w:val="superscript"/>
                      <w:lang w:bidi="ar"/>
                    </w:rPr>
                    <w:t>2-</w:t>
                  </w:r>
                  <w:r>
                    <w:rPr>
                      <w:rFonts w:ascii="Times New Roman" w:hAnsi="Times New Roman"/>
                      <w:kern w:val="0"/>
                      <w:szCs w:val="21"/>
                      <w:lang w:bidi="ar"/>
                    </w:rPr>
                    <w:t>、SO</w:t>
                  </w:r>
                  <w:r>
                    <w:rPr>
                      <w:rFonts w:ascii="Times New Roman" w:hAnsi="Times New Roman"/>
                      <w:kern w:val="0"/>
                      <w:szCs w:val="21"/>
                      <w:vertAlign w:val="subscript"/>
                      <w:lang w:bidi="ar"/>
                    </w:rPr>
                    <w:t>4</w:t>
                  </w:r>
                  <w:r>
                    <w:rPr>
                      <w:rFonts w:ascii="Times New Roman" w:hAnsi="Times New Roman"/>
                      <w:kern w:val="0"/>
                      <w:szCs w:val="21"/>
                      <w:vertAlign w:val="superscript"/>
                      <w:lang w:bidi="ar"/>
                    </w:rPr>
                    <w:t>2-</w:t>
                  </w:r>
                  <w:r>
                    <w:rPr>
                      <w:rFonts w:ascii="Times New Roman" w:hAnsi="Times New Roman"/>
                      <w:kern w:val="0"/>
                      <w:szCs w:val="21"/>
                      <w:lang w:bidi="ar"/>
                    </w:rPr>
                    <w:t>）的测定离子色谱法</w:t>
                  </w:r>
                </w:p>
                <w:p>
                  <w:pPr>
                    <w:widowControl/>
                    <w:jc w:val="center"/>
                    <w:textAlignment w:val="center"/>
                    <w:rPr>
                      <w:rFonts w:ascii="Calibri" w:hAnsi="Calibri"/>
                      <w:kern w:val="0"/>
                      <w:szCs w:val="21"/>
                      <w:lang w:bidi="ar"/>
                    </w:rPr>
                  </w:pPr>
                  <w:r>
                    <w:rPr>
                      <w:rFonts w:ascii="Times New Roman" w:hAnsi="Times New Roman"/>
                      <w:kern w:val="0"/>
                      <w:szCs w:val="21"/>
                      <w:lang w:bidi="ar"/>
                    </w:rPr>
                    <w:t>HJ</w:t>
                  </w:r>
                  <w:r>
                    <w:rPr>
                      <w:rFonts w:hint="eastAsia" w:ascii="Times New Roman" w:hAnsi="Times New Roman"/>
                      <w:kern w:val="0"/>
                      <w:szCs w:val="21"/>
                      <w:lang w:bidi="ar"/>
                    </w:rPr>
                    <w:t xml:space="preserve"> </w:t>
                  </w:r>
                  <w:r>
                    <w:rPr>
                      <w:rFonts w:ascii="Times New Roman" w:hAnsi="Times New Roman"/>
                      <w:kern w:val="0"/>
                      <w:szCs w:val="21"/>
                      <w:lang w:bidi="ar"/>
                    </w:rPr>
                    <w:t>84-2016</w:t>
                  </w:r>
                </w:p>
              </w:tc>
              <w:tc>
                <w:tcPr>
                  <w:tcW w:w="2350" w:type="dxa"/>
                  <w:vMerge w:val="restart"/>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离子色谱仪/ICS-900/KXYQ-005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23</w:t>
                  </w:r>
                </w:p>
              </w:tc>
              <w:tc>
                <w:tcPr>
                  <w:tcW w:w="1276"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氯化物</w:t>
                  </w:r>
                </w:p>
              </w:tc>
              <w:tc>
                <w:tcPr>
                  <w:tcW w:w="4082" w:type="dxa"/>
                  <w:vMerge w:val="continue"/>
                  <w:vAlign w:val="center"/>
                </w:tcPr>
                <w:p>
                  <w:pPr>
                    <w:widowControl/>
                    <w:jc w:val="center"/>
                    <w:textAlignment w:val="center"/>
                    <w:rPr>
                      <w:rFonts w:ascii="Calibri" w:hAnsi="Calibri"/>
                      <w:kern w:val="0"/>
                      <w:szCs w:val="21"/>
                      <w:lang w:bidi="ar"/>
                    </w:rPr>
                  </w:pPr>
                </w:p>
              </w:tc>
              <w:tc>
                <w:tcPr>
                  <w:tcW w:w="2350" w:type="dxa"/>
                  <w:vMerge w:val="continue"/>
                  <w:vAlign w:val="center"/>
                </w:tcPr>
                <w:p>
                  <w:pPr>
                    <w:widowControl/>
                    <w:jc w:val="center"/>
                    <w:textAlignment w:val="center"/>
                    <w:rPr>
                      <w:rFonts w:ascii="Calibri" w:hAnsi="Calibri"/>
                      <w:kern w:val="0"/>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24</w:t>
                  </w:r>
                </w:p>
              </w:tc>
              <w:tc>
                <w:tcPr>
                  <w:tcW w:w="1276" w:type="dxa"/>
                  <w:vAlign w:val="center"/>
                </w:tcPr>
                <w:p>
                  <w:pPr>
                    <w:widowControl/>
                    <w:jc w:val="center"/>
                    <w:textAlignment w:val="center"/>
                    <w:rPr>
                      <w:rFonts w:ascii="Calibri" w:hAnsi="Calibri"/>
                      <w:kern w:val="0"/>
                      <w:szCs w:val="21"/>
                      <w:lang w:bidi="ar"/>
                    </w:rPr>
                  </w:pPr>
                  <w:r>
                    <w:rPr>
                      <w:rFonts w:hint="eastAsia" w:ascii="Times New Roman" w:hAnsi="Times New Roman"/>
                      <w:kern w:val="0"/>
                      <w:szCs w:val="21"/>
                      <w:lang w:bidi="ar"/>
                    </w:rPr>
                    <w:t>钾</w:t>
                  </w:r>
                </w:p>
              </w:tc>
              <w:tc>
                <w:tcPr>
                  <w:tcW w:w="4082" w:type="dxa"/>
                  <w:vMerge w:val="restart"/>
                  <w:vAlign w:val="center"/>
                </w:tcPr>
                <w:p>
                  <w:pPr>
                    <w:widowControl/>
                    <w:jc w:val="center"/>
                    <w:textAlignment w:val="center"/>
                    <w:rPr>
                      <w:rFonts w:ascii="Calibri" w:hAnsi="Calibri"/>
                      <w:kern w:val="0"/>
                      <w:szCs w:val="21"/>
                      <w:lang w:bidi="ar"/>
                    </w:rPr>
                  </w:pPr>
                  <w:r>
                    <w:rPr>
                      <w:rFonts w:hint="eastAsia" w:ascii="Times New Roman" w:hAnsi="Times New Roman"/>
                      <w:kern w:val="0"/>
                      <w:szCs w:val="21"/>
                      <w:lang w:bidi="ar"/>
                    </w:rPr>
                    <w:t>水质 可溶性阳离子（Li</w:t>
                  </w:r>
                  <w:r>
                    <w:rPr>
                      <w:rFonts w:hint="eastAsia" w:ascii="Times New Roman" w:hAnsi="Times New Roman"/>
                      <w:kern w:val="0"/>
                      <w:szCs w:val="21"/>
                      <w:vertAlign w:val="superscript"/>
                      <w:lang w:bidi="ar"/>
                    </w:rPr>
                    <w:t>+</w:t>
                  </w:r>
                  <w:r>
                    <w:rPr>
                      <w:rFonts w:hint="eastAsia" w:ascii="Times New Roman" w:hAnsi="Times New Roman"/>
                      <w:kern w:val="0"/>
                      <w:szCs w:val="21"/>
                      <w:lang w:bidi="ar"/>
                    </w:rPr>
                    <w:t>、Na</w:t>
                  </w:r>
                  <w:r>
                    <w:rPr>
                      <w:rFonts w:hint="eastAsia" w:ascii="Times New Roman" w:hAnsi="Times New Roman"/>
                      <w:kern w:val="0"/>
                      <w:szCs w:val="21"/>
                      <w:vertAlign w:val="superscript"/>
                      <w:lang w:bidi="ar"/>
                    </w:rPr>
                    <w:t>+</w:t>
                  </w:r>
                  <w:r>
                    <w:rPr>
                      <w:rFonts w:hint="eastAsia" w:ascii="Times New Roman" w:hAnsi="Times New Roman"/>
                      <w:kern w:val="0"/>
                      <w:szCs w:val="21"/>
                      <w:lang w:bidi="ar"/>
                    </w:rPr>
                    <w:t>、NH</w:t>
                  </w:r>
                  <w:r>
                    <w:rPr>
                      <w:rFonts w:hint="eastAsia" w:ascii="Times New Roman" w:hAnsi="Times New Roman"/>
                      <w:kern w:val="0"/>
                      <w:szCs w:val="21"/>
                      <w:vertAlign w:val="subscript"/>
                      <w:lang w:bidi="ar"/>
                    </w:rPr>
                    <w:t>4</w:t>
                  </w:r>
                  <w:r>
                    <w:rPr>
                      <w:rFonts w:hint="eastAsia" w:ascii="Times New Roman" w:hAnsi="Times New Roman"/>
                      <w:kern w:val="0"/>
                      <w:szCs w:val="21"/>
                      <w:vertAlign w:val="superscript"/>
                      <w:lang w:bidi="ar"/>
                    </w:rPr>
                    <w:t>+</w:t>
                  </w:r>
                  <w:r>
                    <w:rPr>
                      <w:rFonts w:hint="eastAsia" w:ascii="Times New Roman" w:hAnsi="Times New Roman"/>
                      <w:kern w:val="0"/>
                      <w:szCs w:val="21"/>
                      <w:lang w:bidi="ar"/>
                    </w:rPr>
                    <w:t>、K</w:t>
                  </w:r>
                  <w:r>
                    <w:rPr>
                      <w:rFonts w:hint="eastAsia" w:ascii="Times New Roman" w:hAnsi="Times New Roman"/>
                      <w:kern w:val="0"/>
                      <w:szCs w:val="21"/>
                      <w:vertAlign w:val="superscript"/>
                      <w:lang w:bidi="ar"/>
                    </w:rPr>
                    <w:t>+</w:t>
                  </w:r>
                  <w:r>
                    <w:rPr>
                      <w:rFonts w:hint="eastAsia" w:ascii="Times New Roman" w:hAnsi="Times New Roman"/>
                      <w:kern w:val="0"/>
                      <w:szCs w:val="21"/>
                      <w:lang w:bidi="ar"/>
                    </w:rPr>
                    <w:t>、Ca</w:t>
                  </w:r>
                  <w:r>
                    <w:rPr>
                      <w:rFonts w:hint="eastAsia" w:ascii="Times New Roman" w:hAnsi="Times New Roman"/>
                      <w:kern w:val="0"/>
                      <w:szCs w:val="21"/>
                      <w:vertAlign w:val="superscript"/>
                      <w:lang w:bidi="ar"/>
                    </w:rPr>
                    <w:t>2+</w:t>
                  </w:r>
                  <w:r>
                    <w:rPr>
                      <w:rFonts w:hint="eastAsia" w:ascii="Times New Roman" w:hAnsi="Times New Roman"/>
                      <w:kern w:val="0"/>
                      <w:szCs w:val="21"/>
                      <w:lang w:bidi="ar"/>
                    </w:rPr>
                    <w:t>、Mg</w:t>
                  </w:r>
                  <w:r>
                    <w:rPr>
                      <w:rFonts w:hint="eastAsia" w:ascii="Times New Roman" w:hAnsi="Times New Roman"/>
                      <w:kern w:val="0"/>
                      <w:szCs w:val="21"/>
                      <w:vertAlign w:val="superscript"/>
                      <w:lang w:bidi="ar"/>
                    </w:rPr>
                    <w:t>2+</w:t>
                  </w:r>
                  <w:r>
                    <w:rPr>
                      <w:rFonts w:hint="eastAsia" w:ascii="Times New Roman" w:hAnsi="Times New Roman"/>
                      <w:kern w:val="0"/>
                      <w:szCs w:val="21"/>
                      <w:lang w:bidi="ar"/>
                    </w:rPr>
                    <w:t>）的测定 离子色谱法HJ812-2016</w:t>
                  </w:r>
                </w:p>
              </w:tc>
              <w:tc>
                <w:tcPr>
                  <w:tcW w:w="2350" w:type="dxa"/>
                  <w:vMerge w:val="restart"/>
                  <w:vAlign w:val="center"/>
                </w:tcPr>
                <w:p>
                  <w:pPr>
                    <w:widowControl/>
                    <w:jc w:val="center"/>
                    <w:textAlignment w:val="center"/>
                    <w:rPr>
                      <w:rFonts w:ascii="Calibri" w:hAnsi="Calibri"/>
                      <w:kern w:val="0"/>
                      <w:szCs w:val="21"/>
                      <w:lang w:bidi="ar"/>
                    </w:rPr>
                  </w:pPr>
                  <w:r>
                    <w:rPr>
                      <w:rFonts w:hint="eastAsia" w:ascii="Times New Roman" w:hAnsi="Times New Roman"/>
                      <w:kern w:val="0"/>
                      <w:szCs w:val="21"/>
                      <w:lang w:bidi="ar"/>
                    </w:rPr>
                    <w:t>离子色谱仪/ICS-900/KXYQ-005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25</w:t>
                  </w:r>
                </w:p>
              </w:tc>
              <w:tc>
                <w:tcPr>
                  <w:tcW w:w="1276" w:type="dxa"/>
                  <w:vAlign w:val="center"/>
                </w:tcPr>
                <w:p>
                  <w:pPr>
                    <w:widowControl/>
                    <w:jc w:val="center"/>
                    <w:textAlignment w:val="center"/>
                    <w:rPr>
                      <w:rFonts w:ascii="Calibri" w:hAnsi="Calibri"/>
                      <w:kern w:val="0"/>
                      <w:szCs w:val="21"/>
                      <w:lang w:bidi="ar"/>
                    </w:rPr>
                  </w:pPr>
                  <w:r>
                    <w:rPr>
                      <w:rFonts w:hint="eastAsia" w:ascii="Times New Roman" w:hAnsi="Times New Roman"/>
                      <w:kern w:val="0"/>
                      <w:szCs w:val="21"/>
                      <w:lang w:bidi="ar"/>
                    </w:rPr>
                    <w:t>钠</w:t>
                  </w:r>
                </w:p>
              </w:tc>
              <w:tc>
                <w:tcPr>
                  <w:tcW w:w="4082" w:type="dxa"/>
                  <w:vMerge w:val="continue"/>
                  <w:vAlign w:val="center"/>
                </w:tcPr>
                <w:p>
                  <w:pPr>
                    <w:widowControl/>
                    <w:jc w:val="center"/>
                    <w:textAlignment w:val="center"/>
                    <w:rPr>
                      <w:rFonts w:ascii="Calibri" w:hAnsi="Calibri"/>
                      <w:kern w:val="0"/>
                      <w:szCs w:val="21"/>
                      <w:lang w:bidi="ar"/>
                    </w:rPr>
                  </w:pPr>
                </w:p>
              </w:tc>
              <w:tc>
                <w:tcPr>
                  <w:tcW w:w="2350" w:type="dxa"/>
                  <w:vMerge w:val="continue"/>
                  <w:vAlign w:val="center"/>
                </w:tcPr>
                <w:p>
                  <w:pPr>
                    <w:widowControl/>
                    <w:jc w:val="center"/>
                    <w:textAlignment w:val="center"/>
                    <w:rPr>
                      <w:rFonts w:ascii="Calibri" w:hAnsi="Calibri"/>
                      <w:kern w:val="0"/>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26</w:t>
                  </w:r>
                </w:p>
              </w:tc>
              <w:tc>
                <w:tcPr>
                  <w:tcW w:w="1276" w:type="dxa"/>
                  <w:vAlign w:val="center"/>
                </w:tcPr>
                <w:p>
                  <w:pPr>
                    <w:widowControl/>
                    <w:jc w:val="center"/>
                    <w:textAlignment w:val="center"/>
                    <w:rPr>
                      <w:rFonts w:ascii="Calibri" w:hAnsi="Calibri"/>
                      <w:kern w:val="0"/>
                      <w:szCs w:val="21"/>
                      <w:lang w:bidi="ar"/>
                    </w:rPr>
                  </w:pPr>
                  <w:r>
                    <w:rPr>
                      <w:rFonts w:hint="eastAsia" w:ascii="Times New Roman" w:hAnsi="Times New Roman"/>
                      <w:kern w:val="0"/>
                      <w:szCs w:val="21"/>
                      <w:lang w:bidi="ar"/>
                    </w:rPr>
                    <w:t>钙</w:t>
                  </w:r>
                </w:p>
              </w:tc>
              <w:tc>
                <w:tcPr>
                  <w:tcW w:w="4082" w:type="dxa"/>
                  <w:vMerge w:val="continue"/>
                  <w:vAlign w:val="center"/>
                </w:tcPr>
                <w:p>
                  <w:pPr>
                    <w:widowControl/>
                    <w:jc w:val="center"/>
                    <w:textAlignment w:val="center"/>
                    <w:rPr>
                      <w:rFonts w:ascii="Calibri" w:hAnsi="Calibri"/>
                      <w:kern w:val="0"/>
                      <w:szCs w:val="21"/>
                      <w:lang w:bidi="ar"/>
                    </w:rPr>
                  </w:pPr>
                </w:p>
              </w:tc>
              <w:tc>
                <w:tcPr>
                  <w:tcW w:w="2350" w:type="dxa"/>
                  <w:vMerge w:val="continue"/>
                  <w:vAlign w:val="center"/>
                </w:tcPr>
                <w:p>
                  <w:pPr>
                    <w:widowControl/>
                    <w:jc w:val="center"/>
                    <w:textAlignment w:val="center"/>
                    <w:rPr>
                      <w:rFonts w:ascii="Calibri" w:hAnsi="Calibri"/>
                      <w:kern w:val="0"/>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27</w:t>
                  </w:r>
                </w:p>
              </w:tc>
              <w:tc>
                <w:tcPr>
                  <w:tcW w:w="1276" w:type="dxa"/>
                  <w:vAlign w:val="center"/>
                </w:tcPr>
                <w:p>
                  <w:pPr>
                    <w:widowControl/>
                    <w:jc w:val="center"/>
                    <w:textAlignment w:val="center"/>
                    <w:rPr>
                      <w:rFonts w:ascii="Calibri" w:hAnsi="Calibri"/>
                      <w:kern w:val="0"/>
                      <w:szCs w:val="21"/>
                      <w:lang w:bidi="ar"/>
                    </w:rPr>
                  </w:pPr>
                  <w:r>
                    <w:rPr>
                      <w:rFonts w:hint="eastAsia" w:ascii="Times New Roman" w:hAnsi="Times New Roman"/>
                      <w:kern w:val="0"/>
                      <w:szCs w:val="21"/>
                      <w:lang w:bidi="ar"/>
                    </w:rPr>
                    <w:t>镁</w:t>
                  </w:r>
                </w:p>
              </w:tc>
              <w:tc>
                <w:tcPr>
                  <w:tcW w:w="4082" w:type="dxa"/>
                  <w:vMerge w:val="continue"/>
                  <w:vAlign w:val="center"/>
                </w:tcPr>
                <w:p>
                  <w:pPr>
                    <w:widowControl/>
                    <w:jc w:val="center"/>
                    <w:textAlignment w:val="center"/>
                    <w:rPr>
                      <w:rFonts w:ascii="Calibri" w:hAnsi="Calibri"/>
                      <w:kern w:val="0"/>
                      <w:szCs w:val="21"/>
                      <w:lang w:bidi="ar"/>
                    </w:rPr>
                  </w:pPr>
                </w:p>
              </w:tc>
              <w:tc>
                <w:tcPr>
                  <w:tcW w:w="2350" w:type="dxa"/>
                  <w:vMerge w:val="continue"/>
                  <w:vAlign w:val="center"/>
                </w:tcPr>
                <w:p>
                  <w:pPr>
                    <w:widowControl/>
                    <w:jc w:val="center"/>
                    <w:textAlignment w:val="center"/>
                    <w:rPr>
                      <w:rFonts w:ascii="Calibri" w:hAnsi="Calibri"/>
                      <w:kern w:val="0"/>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28</w:t>
                  </w:r>
                </w:p>
              </w:tc>
              <w:tc>
                <w:tcPr>
                  <w:tcW w:w="1276" w:type="dxa"/>
                  <w:vAlign w:val="center"/>
                </w:tcPr>
                <w:p>
                  <w:pPr>
                    <w:widowControl/>
                    <w:jc w:val="center"/>
                    <w:textAlignment w:val="center"/>
                    <w:rPr>
                      <w:rFonts w:ascii="Calibri" w:hAnsi="Calibri"/>
                      <w:kern w:val="0"/>
                      <w:szCs w:val="21"/>
                      <w:lang w:bidi="ar"/>
                    </w:rPr>
                  </w:pPr>
                  <w:r>
                    <w:rPr>
                      <w:rFonts w:hint="eastAsia" w:ascii="Times New Roman" w:hAnsi="Times New Roman"/>
                      <w:kern w:val="0"/>
                      <w:szCs w:val="21"/>
                      <w:lang w:bidi="ar"/>
                    </w:rPr>
                    <w:t>碳酸根</w:t>
                  </w:r>
                </w:p>
              </w:tc>
              <w:tc>
                <w:tcPr>
                  <w:tcW w:w="4082"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碱度 酸碱指示剂滴定法《水和废水监测分析方法》（第四版）国家环境保护总局（2002年）</w:t>
                  </w:r>
                </w:p>
              </w:tc>
              <w:tc>
                <w:tcPr>
                  <w:tcW w:w="2350"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酸式滴定管/25mL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1" w:type="dxa"/>
                  <w:vAlign w:val="center"/>
                </w:tcPr>
                <w:p>
                  <w:pPr>
                    <w:jc w:val="center"/>
                    <w:rPr>
                      <w:rFonts w:ascii="Calibri" w:hAnsi="Calibri"/>
                      <w:szCs w:val="21"/>
                    </w:rPr>
                  </w:pPr>
                  <w:r>
                    <w:rPr>
                      <w:rFonts w:hint="eastAsia" w:ascii="Times New Roman" w:hAnsi="Times New Roman"/>
                      <w:szCs w:val="21"/>
                    </w:rPr>
                    <w:t>29</w:t>
                  </w:r>
                </w:p>
              </w:tc>
              <w:tc>
                <w:tcPr>
                  <w:tcW w:w="1276" w:type="dxa"/>
                  <w:vAlign w:val="center"/>
                </w:tcPr>
                <w:p>
                  <w:pPr>
                    <w:widowControl/>
                    <w:jc w:val="center"/>
                    <w:textAlignment w:val="center"/>
                    <w:rPr>
                      <w:rFonts w:ascii="Calibri" w:hAnsi="Calibri"/>
                      <w:kern w:val="0"/>
                      <w:szCs w:val="21"/>
                      <w:lang w:bidi="ar"/>
                    </w:rPr>
                  </w:pPr>
                  <w:r>
                    <w:rPr>
                      <w:rFonts w:hint="eastAsia" w:ascii="Times New Roman" w:hAnsi="Times New Roman"/>
                      <w:kern w:val="0"/>
                      <w:szCs w:val="21"/>
                      <w:lang w:bidi="ar"/>
                    </w:rPr>
                    <w:t>碳酸氢根</w:t>
                  </w:r>
                </w:p>
              </w:tc>
              <w:tc>
                <w:tcPr>
                  <w:tcW w:w="4082"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碱度 酸碱指示剂滴定法《水和废水监测分析方法》（第四版）国家环境保护总局（2002年）</w:t>
                  </w:r>
                </w:p>
              </w:tc>
              <w:tc>
                <w:tcPr>
                  <w:tcW w:w="2350" w:type="dxa"/>
                  <w:vAlign w:val="center"/>
                </w:tcPr>
                <w:p>
                  <w:pPr>
                    <w:widowControl/>
                    <w:jc w:val="center"/>
                    <w:textAlignment w:val="center"/>
                    <w:rPr>
                      <w:rFonts w:ascii="Calibri" w:hAnsi="Calibri"/>
                      <w:kern w:val="0"/>
                      <w:szCs w:val="21"/>
                      <w:lang w:bidi="ar"/>
                    </w:rPr>
                  </w:pPr>
                  <w:r>
                    <w:rPr>
                      <w:rFonts w:ascii="Times New Roman" w:hAnsi="Times New Roman"/>
                      <w:kern w:val="0"/>
                      <w:szCs w:val="21"/>
                      <w:lang w:bidi="ar"/>
                    </w:rPr>
                    <w:t>酸式滴定管/25mL</w:t>
                  </w:r>
                </w:p>
              </w:tc>
            </w:tr>
          </w:tbl>
          <w:p>
            <w:pPr>
              <w:pStyle w:val="52"/>
              <w:spacing w:line="500" w:lineRule="exact"/>
              <w:ind w:firstLine="480"/>
              <w:rPr>
                <w:rFonts w:cs="Times New Roman"/>
                <w:color w:val="auto"/>
                <w:sz w:val="24"/>
              </w:rPr>
            </w:pPr>
            <w:r>
              <w:rPr>
                <w:rFonts w:hint="eastAsia" w:cs="Times New Roman"/>
                <w:color w:val="auto"/>
                <w:sz w:val="24"/>
              </w:rPr>
              <w:t>③监测结果统计</w:t>
            </w:r>
          </w:p>
          <w:p>
            <w:pPr>
              <w:pStyle w:val="52"/>
              <w:spacing w:line="500" w:lineRule="exact"/>
              <w:ind w:firstLine="480"/>
              <w:rPr>
                <w:rFonts w:cs="Times New Roman"/>
                <w:color w:val="auto"/>
                <w:sz w:val="24"/>
              </w:rPr>
            </w:pPr>
            <w:r>
              <w:rPr>
                <w:rFonts w:cs="Times New Roman"/>
                <w:color w:val="auto"/>
                <w:sz w:val="24"/>
              </w:rPr>
              <w:t>地下水现状监测结果见</w:t>
            </w:r>
            <w:r>
              <w:rPr>
                <w:rFonts w:hint="eastAsia" w:cs="Times New Roman"/>
                <w:color w:val="auto"/>
                <w:sz w:val="24"/>
              </w:rPr>
              <w:t>下表</w:t>
            </w:r>
            <w:r>
              <w:rPr>
                <w:rFonts w:cs="Times New Roman"/>
                <w:color w:val="auto"/>
                <w:sz w:val="24"/>
              </w:rPr>
              <w:t>。</w:t>
            </w:r>
          </w:p>
          <w:p>
            <w:pPr>
              <w:spacing w:line="276" w:lineRule="auto"/>
              <w:jc w:val="center"/>
              <w:rPr>
                <w:rFonts w:hint="eastAsia" w:hAnsi="宋体"/>
                <w:b/>
                <w:bCs/>
                <w:kern w:val="0"/>
                <w:sz w:val="24"/>
              </w:rPr>
            </w:pPr>
            <w:r>
              <w:rPr>
                <w:rFonts w:hAnsi="宋体"/>
                <w:b/>
                <w:bCs/>
                <w:kern w:val="0"/>
                <w:sz w:val="24"/>
              </w:rPr>
              <w:t>表</w:t>
            </w:r>
            <w:r>
              <w:rPr>
                <w:rFonts w:hint="eastAsia" w:hAnsi="宋体"/>
                <w:b/>
                <w:bCs/>
                <w:kern w:val="0"/>
                <w:sz w:val="24"/>
              </w:rPr>
              <w:t>3-6</w:t>
            </w:r>
            <w:r>
              <w:rPr>
                <w:rFonts w:hAnsi="宋体"/>
                <w:b/>
                <w:bCs/>
                <w:kern w:val="0"/>
                <w:sz w:val="24"/>
              </w:rPr>
              <w:t xml:space="preserve"> 地下水现状监测结果  单位：mg/L</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5"/>
              <w:gridCol w:w="2589"/>
              <w:gridCol w:w="2112"/>
              <w:gridCol w:w="20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220" w:type="dxa"/>
                  <w:vAlign w:val="center"/>
                </w:tcPr>
                <w:p>
                  <w:pPr>
                    <w:jc w:val="center"/>
                    <w:rPr>
                      <w:szCs w:val="21"/>
                    </w:rPr>
                  </w:pPr>
                  <w:r>
                    <w:rPr>
                      <w:szCs w:val="21"/>
                    </w:rPr>
                    <w:t>序号</w:t>
                  </w:r>
                </w:p>
              </w:tc>
              <w:tc>
                <w:tcPr>
                  <w:tcW w:w="2627" w:type="dxa"/>
                  <w:vAlign w:val="center"/>
                </w:tcPr>
                <w:p>
                  <w:pPr>
                    <w:jc w:val="center"/>
                    <w:rPr>
                      <w:szCs w:val="21"/>
                    </w:rPr>
                  </w:pPr>
                  <w:r>
                    <w:rPr>
                      <w:szCs w:val="21"/>
                    </w:rPr>
                    <w:t>监测项目</w:t>
                  </w:r>
                </w:p>
              </w:tc>
              <w:tc>
                <w:tcPr>
                  <w:tcW w:w="2166" w:type="dxa"/>
                  <w:vAlign w:val="center"/>
                </w:tcPr>
                <w:p>
                  <w:pPr>
                    <w:jc w:val="center"/>
                    <w:rPr>
                      <w:szCs w:val="21"/>
                    </w:rPr>
                  </w:pPr>
                  <w:r>
                    <w:rPr>
                      <w:rFonts w:hint="eastAsia"/>
                      <w:szCs w:val="21"/>
                    </w:rPr>
                    <w:t>项目位置</w:t>
                  </w:r>
                </w:p>
              </w:tc>
              <w:tc>
                <w:tcPr>
                  <w:tcW w:w="2146" w:type="dxa"/>
                  <w:vAlign w:val="center"/>
                </w:tcPr>
                <w:p>
                  <w:pPr>
                    <w:jc w:val="center"/>
                    <w:rPr>
                      <w:szCs w:val="21"/>
                    </w:rPr>
                  </w:pPr>
                  <w:r>
                    <w:rPr>
                      <w:rFonts w:hint="eastAsia"/>
                      <w:szCs w:val="21"/>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1</w:t>
                  </w:r>
                </w:p>
              </w:tc>
              <w:tc>
                <w:tcPr>
                  <w:tcW w:w="2627" w:type="dxa"/>
                  <w:vAlign w:val="center"/>
                </w:tcPr>
                <w:p>
                  <w:pPr>
                    <w:jc w:val="center"/>
                    <w:rPr>
                      <w:szCs w:val="21"/>
                    </w:rPr>
                  </w:pPr>
                  <w:r>
                    <w:rPr>
                      <w:szCs w:val="21"/>
                    </w:rPr>
                    <w:t>pH</w:t>
                  </w:r>
                </w:p>
              </w:tc>
              <w:tc>
                <w:tcPr>
                  <w:tcW w:w="2166" w:type="dxa"/>
                  <w:vAlign w:val="center"/>
                </w:tcPr>
                <w:p>
                  <w:pPr>
                    <w:jc w:val="center"/>
                    <w:rPr>
                      <w:szCs w:val="21"/>
                    </w:rPr>
                  </w:pPr>
                  <w:r>
                    <w:rPr>
                      <w:szCs w:val="21"/>
                    </w:rPr>
                    <w:t>7.2</w:t>
                  </w:r>
                </w:p>
              </w:tc>
              <w:tc>
                <w:tcPr>
                  <w:tcW w:w="2146" w:type="dxa"/>
                  <w:vAlign w:val="center"/>
                </w:tcPr>
                <w:p>
                  <w:pPr>
                    <w:jc w:val="center"/>
                    <w:rPr>
                      <w:szCs w:val="21"/>
                    </w:rPr>
                  </w:pPr>
                  <w:r>
                    <w:rPr>
                      <w:szCs w:val="21"/>
                    </w:rPr>
                    <w:t>6.5-8.5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2</w:t>
                  </w:r>
                </w:p>
              </w:tc>
              <w:tc>
                <w:tcPr>
                  <w:tcW w:w="2627" w:type="dxa"/>
                  <w:vAlign w:val="center"/>
                </w:tcPr>
                <w:p>
                  <w:pPr>
                    <w:jc w:val="center"/>
                    <w:rPr>
                      <w:szCs w:val="21"/>
                    </w:rPr>
                  </w:pPr>
                  <w:r>
                    <w:rPr>
                      <w:szCs w:val="21"/>
                    </w:rPr>
                    <w:t>总硬度</w:t>
                  </w:r>
                </w:p>
              </w:tc>
              <w:tc>
                <w:tcPr>
                  <w:tcW w:w="2166" w:type="dxa"/>
                  <w:vAlign w:val="center"/>
                </w:tcPr>
                <w:p>
                  <w:pPr>
                    <w:jc w:val="center"/>
                    <w:rPr>
                      <w:szCs w:val="21"/>
                    </w:rPr>
                  </w:pPr>
                  <w:r>
                    <w:rPr>
                      <w:rFonts w:hint="eastAsia"/>
                      <w:szCs w:val="21"/>
                    </w:rPr>
                    <w:t>20.1</w:t>
                  </w:r>
                </w:p>
              </w:tc>
              <w:tc>
                <w:tcPr>
                  <w:tcW w:w="2146" w:type="dxa"/>
                  <w:vAlign w:val="center"/>
                </w:tcPr>
                <w:p>
                  <w:pPr>
                    <w:jc w:val="center"/>
                    <w:rPr>
                      <w:szCs w:val="21"/>
                    </w:rPr>
                  </w:pPr>
                  <w:r>
                    <w:rPr>
                      <w:szCs w:val="21"/>
                    </w:rPr>
                    <w:t>450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3</w:t>
                  </w:r>
                </w:p>
              </w:tc>
              <w:tc>
                <w:tcPr>
                  <w:tcW w:w="2627" w:type="dxa"/>
                  <w:vAlign w:val="center"/>
                </w:tcPr>
                <w:p>
                  <w:pPr>
                    <w:jc w:val="center"/>
                    <w:rPr>
                      <w:szCs w:val="21"/>
                    </w:rPr>
                  </w:pPr>
                  <w:r>
                    <w:rPr>
                      <w:szCs w:val="21"/>
                    </w:rPr>
                    <w:t>溶解性总固体</w:t>
                  </w:r>
                </w:p>
              </w:tc>
              <w:tc>
                <w:tcPr>
                  <w:tcW w:w="2166" w:type="dxa"/>
                  <w:vAlign w:val="center"/>
                </w:tcPr>
                <w:p>
                  <w:pPr>
                    <w:jc w:val="center"/>
                    <w:rPr>
                      <w:szCs w:val="21"/>
                    </w:rPr>
                  </w:pPr>
                  <w:r>
                    <w:rPr>
                      <w:szCs w:val="21"/>
                    </w:rPr>
                    <w:t>41</w:t>
                  </w:r>
                </w:p>
              </w:tc>
              <w:tc>
                <w:tcPr>
                  <w:tcW w:w="2146" w:type="dxa"/>
                  <w:vAlign w:val="center"/>
                </w:tcPr>
                <w:p>
                  <w:pPr>
                    <w:jc w:val="center"/>
                    <w:rPr>
                      <w:szCs w:val="21"/>
                    </w:rPr>
                  </w:pPr>
                  <w:r>
                    <w:rPr>
                      <w:szCs w:val="21"/>
                    </w:rPr>
                    <w:t>1000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4</w:t>
                  </w:r>
                </w:p>
              </w:tc>
              <w:tc>
                <w:tcPr>
                  <w:tcW w:w="2627" w:type="dxa"/>
                  <w:vAlign w:val="center"/>
                </w:tcPr>
                <w:p>
                  <w:pPr>
                    <w:jc w:val="center"/>
                    <w:rPr>
                      <w:szCs w:val="21"/>
                    </w:rPr>
                  </w:pPr>
                  <w:r>
                    <w:rPr>
                      <w:szCs w:val="21"/>
                    </w:rPr>
                    <w:t>硫酸盐</w:t>
                  </w:r>
                </w:p>
              </w:tc>
              <w:tc>
                <w:tcPr>
                  <w:tcW w:w="2166" w:type="dxa"/>
                  <w:vAlign w:val="center"/>
                </w:tcPr>
                <w:p>
                  <w:pPr>
                    <w:jc w:val="center"/>
                    <w:rPr>
                      <w:szCs w:val="21"/>
                    </w:rPr>
                  </w:pPr>
                  <w:r>
                    <w:rPr>
                      <w:szCs w:val="21"/>
                    </w:rPr>
                    <w:t>1.03</w:t>
                  </w:r>
                </w:p>
              </w:tc>
              <w:tc>
                <w:tcPr>
                  <w:tcW w:w="2146" w:type="dxa"/>
                  <w:vAlign w:val="center"/>
                </w:tcPr>
                <w:p>
                  <w:pPr>
                    <w:jc w:val="center"/>
                    <w:rPr>
                      <w:szCs w:val="21"/>
                    </w:rPr>
                  </w:pPr>
                  <w:r>
                    <w:rPr>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5</w:t>
                  </w:r>
                </w:p>
              </w:tc>
              <w:tc>
                <w:tcPr>
                  <w:tcW w:w="2627" w:type="dxa"/>
                  <w:vAlign w:val="center"/>
                </w:tcPr>
                <w:p>
                  <w:pPr>
                    <w:jc w:val="center"/>
                    <w:rPr>
                      <w:szCs w:val="21"/>
                    </w:rPr>
                  </w:pPr>
                  <w:r>
                    <w:rPr>
                      <w:szCs w:val="21"/>
                    </w:rPr>
                    <w:t>氯化物</w:t>
                  </w:r>
                </w:p>
              </w:tc>
              <w:tc>
                <w:tcPr>
                  <w:tcW w:w="2166" w:type="dxa"/>
                  <w:vAlign w:val="center"/>
                </w:tcPr>
                <w:p>
                  <w:pPr>
                    <w:jc w:val="center"/>
                    <w:rPr>
                      <w:szCs w:val="21"/>
                    </w:rPr>
                  </w:pPr>
                  <w:r>
                    <w:rPr>
                      <w:szCs w:val="21"/>
                    </w:rPr>
                    <w:t>1.16</w:t>
                  </w:r>
                </w:p>
              </w:tc>
              <w:tc>
                <w:tcPr>
                  <w:tcW w:w="2146" w:type="dxa"/>
                  <w:vAlign w:val="center"/>
                </w:tcPr>
                <w:p>
                  <w:pPr>
                    <w:jc w:val="center"/>
                    <w:rPr>
                      <w:szCs w:val="21"/>
                    </w:rPr>
                  </w:pPr>
                  <w:r>
                    <w:rPr>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6</w:t>
                  </w:r>
                </w:p>
              </w:tc>
              <w:tc>
                <w:tcPr>
                  <w:tcW w:w="2627" w:type="dxa"/>
                  <w:vAlign w:val="center"/>
                </w:tcPr>
                <w:p>
                  <w:pPr>
                    <w:jc w:val="center"/>
                    <w:rPr>
                      <w:szCs w:val="21"/>
                    </w:rPr>
                  </w:pPr>
                  <w:r>
                    <w:rPr>
                      <w:szCs w:val="21"/>
                    </w:rPr>
                    <w:t>铁</w:t>
                  </w:r>
                </w:p>
              </w:tc>
              <w:tc>
                <w:tcPr>
                  <w:tcW w:w="2166" w:type="dxa"/>
                  <w:vAlign w:val="center"/>
                </w:tcPr>
                <w:p>
                  <w:pPr>
                    <w:jc w:val="center"/>
                    <w:rPr>
                      <w:szCs w:val="21"/>
                    </w:rPr>
                  </w:pPr>
                  <w:r>
                    <w:rPr>
                      <w:szCs w:val="21"/>
                    </w:rPr>
                    <w:t>0.03L</w:t>
                  </w:r>
                </w:p>
              </w:tc>
              <w:tc>
                <w:tcPr>
                  <w:tcW w:w="2146" w:type="dxa"/>
                  <w:vAlign w:val="center"/>
                </w:tcPr>
                <w:p>
                  <w:pPr>
                    <w:jc w:val="center"/>
                    <w:rPr>
                      <w:szCs w:val="21"/>
                    </w:rPr>
                  </w:pPr>
                  <w:r>
                    <w:rPr>
                      <w:szCs w:val="21"/>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7</w:t>
                  </w:r>
                </w:p>
              </w:tc>
              <w:tc>
                <w:tcPr>
                  <w:tcW w:w="2627" w:type="dxa"/>
                  <w:vAlign w:val="center"/>
                </w:tcPr>
                <w:p>
                  <w:pPr>
                    <w:jc w:val="center"/>
                    <w:rPr>
                      <w:szCs w:val="21"/>
                    </w:rPr>
                  </w:pPr>
                  <w:r>
                    <w:rPr>
                      <w:szCs w:val="21"/>
                    </w:rPr>
                    <w:t>锰</w:t>
                  </w:r>
                </w:p>
              </w:tc>
              <w:tc>
                <w:tcPr>
                  <w:tcW w:w="2166" w:type="dxa"/>
                  <w:vAlign w:val="center"/>
                </w:tcPr>
                <w:p>
                  <w:pPr>
                    <w:jc w:val="center"/>
                    <w:rPr>
                      <w:szCs w:val="21"/>
                    </w:rPr>
                  </w:pPr>
                  <w:r>
                    <w:rPr>
                      <w:szCs w:val="21"/>
                    </w:rPr>
                    <w:t>0.01L</w:t>
                  </w:r>
                </w:p>
              </w:tc>
              <w:tc>
                <w:tcPr>
                  <w:tcW w:w="2146" w:type="dxa"/>
                  <w:vAlign w:val="center"/>
                </w:tcPr>
                <w:p>
                  <w:pPr>
                    <w:jc w:val="center"/>
                    <w:rPr>
                      <w:szCs w:val="21"/>
                    </w:rPr>
                  </w:pPr>
                  <w:r>
                    <w:rPr>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8</w:t>
                  </w:r>
                </w:p>
              </w:tc>
              <w:tc>
                <w:tcPr>
                  <w:tcW w:w="2627" w:type="dxa"/>
                  <w:vAlign w:val="center"/>
                </w:tcPr>
                <w:p>
                  <w:pPr>
                    <w:jc w:val="center"/>
                    <w:rPr>
                      <w:szCs w:val="21"/>
                    </w:rPr>
                  </w:pPr>
                  <w:r>
                    <w:rPr>
                      <w:szCs w:val="21"/>
                    </w:rPr>
                    <w:t>挥发性酚类（以苯酚计）</w:t>
                  </w:r>
                </w:p>
              </w:tc>
              <w:tc>
                <w:tcPr>
                  <w:tcW w:w="2166" w:type="dxa"/>
                  <w:vAlign w:val="center"/>
                </w:tcPr>
                <w:p>
                  <w:pPr>
                    <w:jc w:val="center"/>
                    <w:rPr>
                      <w:szCs w:val="21"/>
                    </w:rPr>
                  </w:pPr>
                  <w:r>
                    <w:rPr>
                      <w:szCs w:val="21"/>
                    </w:rPr>
                    <w:t>0.0003L</w:t>
                  </w:r>
                </w:p>
              </w:tc>
              <w:tc>
                <w:tcPr>
                  <w:tcW w:w="2146" w:type="dxa"/>
                  <w:vAlign w:val="center"/>
                </w:tcPr>
                <w:p>
                  <w:pPr>
                    <w:jc w:val="center"/>
                    <w:rPr>
                      <w:szCs w:val="21"/>
                    </w:rPr>
                  </w:pPr>
                  <w:r>
                    <w:rPr>
                      <w:szCs w:val="21"/>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9</w:t>
                  </w:r>
                </w:p>
              </w:tc>
              <w:tc>
                <w:tcPr>
                  <w:tcW w:w="2627" w:type="dxa"/>
                  <w:vAlign w:val="center"/>
                </w:tcPr>
                <w:p>
                  <w:pPr>
                    <w:jc w:val="center"/>
                    <w:rPr>
                      <w:szCs w:val="21"/>
                    </w:rPr>
                  </w:pPr>
                  <w:r>
                    <w:rPr>
                      <w:szCs w:val="21"/>
                    </w:rPr>
                    <w:t>耗氧量（以O</w:t>
                  </w:r>
                  <w:r>
                    <w:rPr>
                      <w:szCs w:val="21"/>
                      <w:vertAlign w:val="subscript"/>
                    </w:rPr>
                    <w:t>2</w:t>
                  </w:r>
                  <w:r>
                    <w:rPr>
                      <w:szCs w:val="21"/>
                    </w:rPr>
                    <w:t>计）</w:t>
                  </w:r>
                </w:p>
              </w:tc>
              <w:tc>
                <w:tcPr>
                  <w:tcW w:w="2166" w:type="dxa"/>
                  <w:vAlign w:val="center"/>
                </w:tcPr>
                <w:p>
                  <w:pPr>
                    <w:jc w:val="center"/>
                    <w:rPr>
                      <w:szCs w:val="21"/>
                    </w:rPr>
                  </w:pPr>
                  <w:r>
                    <w:rPr>
                      <w:szCs w:val="21"/>
                    </w:rPr>
                    <w:t>1.8</w:t>
                  </w:r>
                </w:p>
              </w:tc>
              <w:tc>
                <w:tcPr>
                  <w:tcW w:w="2146" w:type="dxa"/>
                  <w:vAlign w:val="center"/>
                </w:tcPr>
                <w:p>
                  <w:pPr>
                    <w:jc w:val="center"/>
                    <w:rPr>
                      <w:szCs w:val="21"/>
                    </w:rPr>
                  </w:pPr>
                  <w:r>
                    <w:rPr>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10</w:t>
                  </w:r>
                </w:p>
              </w:tc>
              <w:tc>
                <w:tcPr>
                  <w:tcW w:w="2627" w:type="dxa"/>
                  <w:vAlign w:val="center"/>
                </w:tcPr>
                <w:p>
                  <w:pPr>
                    <w:jc w:val="center"/>
                    <w:rPr>
                      <w:szCs w:val="21"/>
                    </w:rPr>
                  </w:pPr>
                  <w:r>
                    <w:rPr>
                      <w:szCs w:val="21"/>
                    </w:rPr>
                    <w:t>氨氮（以N计）</w:t>
                  </w:r>
                </w:p>
              </w:tc>
              <w:tc>
                <w:tcPr>
                  <w:tcW w:w="2166" w:type="dxa"/>
                  <w:vAlign w:val="center"/>
                </w:tcPr>
                <w:p>
                  <w:pPr>
                    <w:jc w:val="center"/>
                    <w:rPr>
                      <w:szCs w:val="21"/>
                    </w:rPr>
                  </w:pPr>
                  <w:r>
                    <w:rPr>
                      <w:szCs w:val="21"/>
                    </w:rPr>
                    <w:t>0.025L</w:t>
                  </w:r>
                </w:p>
              </w:tc>
              <w:tc>
                <w:tcPr>
                  <w:tcW w:w="2146" w:type="dxa"/>
                  <w:vAlign w:val="center"/>
                </w:tcPr>
                <w:p>
                  <w:pPr>
                    <w:jc w:val="center"/>
                    <w:rPr>
                      <w:szCs w:val="21"/>
                    </w:rPr>
                  </w:pPr>
                  <w:r>
                    <w:rPr>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11</w:t>
                  </w:r>
                </w:p>
              </w:tc>
              <w:tc>
                <w:tcPr>
                  <w:tcW w:w="2627" w:type="dxa"/>
                  <w:vAlign w:val="center"/>
                </w:tcPr>
                <w:p>
                  <w:pPr>
                    <w:jc w:val="center"/>
                    <w:rPr>
                      <w:szCs w:val="21"/>
                    </w:rPr>
                  </w:pPr>
                  <w:r>
                    <w:rPr>
                      <w:szCs w:val="21"/>
                    </w:rPr>
                    <w:t>Na</w:t>
                  </w:r>
                  <w:r>
                    <w:rPr>
                      <w:szCs w:val="21"/>
                      <w:vertAlign w:val="superscript"/>
                    </w:rPr>
                    <w:t>+</w:t>
                  </w:r>
                </w:p>
              </w:tc>
              <w:tc>
                <w:tcPr>
                  <w:tcW w:w="2166" w:type="dxa"/>
                  <w:vAlign w:val="center"/>
                </w:tcPr>
                <w:p>
                  <w:pPr>
                    <w:jc w:val="center"/>
                    <w:rPr>
                      <w:szCs w:val="21"/>
                    </w:rPr>
                  </w:pPr>
                  <w:r>
                    <w:rPr>
                      <w:szCs w:val="21"/>
                    </w:rPr>
                    <w:t>7.80</w:t>
                  </w:r>
                </w:p>
              </w:tc>
              <w:tc>
                <w:tcPr>
                  <w:tcW w:w="2146" w:type="dxa"/>
                  <w:vAlign w:val="center"/>
                </w:tcPr>
                <w:p>
                  <w:pPr>
                    <w:jc w:val="center"/>
                    <w:rPr>
                      <w:szCs w:val="21"/>
                    </w:rPr>
                  </w:pPr>
                  <w:r>
                    <w:rPr>
                      <w:szCs w:val="21"/>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12</w:t>
                  </w:r>
                </w:p>
              </w:tc>
              <w:tc>
                <w:tcPr>
                  <w:tcW w:w="2627" w:type="dxa"/>
                  <w:vAlign w:val="center"/>
                </w:tcPr>
                <w:p>
                  <w:pPr>
                    <w:jc w:val="center"/>
                    <w:rPr>
                      <w:szCs w:val="21"/>
                    </w:rPr>
                  </w:pPr>
                  <w:r>
                    <w:rPr>
                      <w:szCs w:val="21"/>
                    </w:rPr>
                    <w:t>总大肠菌群（MPN/100mL）</w:t>
                  </w:r>
                </w:p>
              </w:tc>
              <w:tc>
                <w:tcPr>
                  <w:tcW w:w="2166" w:type="dxa"/>
                  <w:vAlign w:val="center"/>
                </w:tcPr>
                <w:p>
                  <w:pPr>
                    <w:jc w:val="center"/>
                    <w:rPr>
                      <w:szCs w:val="21"/>
                    </w:rPr>
                  </w:pPr>
                  <w:r>
                    <w:rPr>
                      <w:szCs w:val="21"/>
                    </w:rPr>
                    <w:t>&lt;20</w:t>
                  </w:r>
                </w:p>
              </w:tc>
              <w:tc>
                <w:tcPr>
                  <w:tcW w:w="2146" w:type="dxa"/>
                  <w:vAlign w:val="center"/>
                </w:tcPr>
                <w:p>
                  <w:pPr>
                    <w:jc w:val="center"/>
                    <w:rPr>
                      <w:szCs w:val="21"/>
                    </w:rPr>
                  </w:pPr>
                  <w:r>
                    <w:rPr>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13</w:t>
                  </w:r>
                </w:p>
              </w:tc>
              <w:tc>
                <w:tcPr>
                  <w:tcW w:w="2627" w:type="dxa"/>
                  <w:vAlign w:val="center"/>
                </w:tcPr>
                <w:p>
                  <w:pPr>
                    <w:jc w:val="center"/>
                    <w:rPr>
                      <w:szCs w:val="21"/>
                    </w:rPr>
                  </w:pPr>
                  <w:r>
                    <w:rPr>
                      <w:szCs w:val="21"/>
                    </w:rPr>
                    <w:t>细菌总数（CFU/mL）</w:t>
                  </w:r>
                </w:p>
              </w:tc>
              <w:tc>
                <w:tcPr>
                  <w:tcW w:w="2166" w:type="dxa"/>
                  <w:vAlign w:val="center"/>
                </w:tcPr>
                <w:p>
                  <w:pPr>
                    <w:jc w:val="center"/>
                    <w:rPr>
                      <w:szCs w:val="21"/>
                    </w:rPr>
                  </w:pPr>
                  <w:r>
                    <w:rPr>
                      <w:szCs w:val="21"/>
                    </w:rPr>
                    <w:t>52</w:t>
                  </w:r>
                </w:p>
              </w:tc>
              <w:tc>
                <w:tcPr>
                  <w:tcW w:w="2146" w:type="dxa"/>
                  <w:vAlign w:val="center"/>
                </w:tcPr>
                <w:p>
                  <w:pPr>
                    <w:jc w:val="center"/>
                    <w:rPr>
                      <w:szCs w:val="21"/>
                    </w:rPr>
                  </w:pPr>
                  <w:r>
                    <w:rPr>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14</w:t>
                  </w:r>
                </w:p>
              </w:tc>
              <w:tc>
                <w:tcPr>
                  <w:tcW w:w="2627" w:type="dxa"/>
                  <w:vAlign w:val="center"/>
                </w:tcPr>
                <w:p>
                  <w:pPr>
                    <w:jc w:val="center"/>
                    <w:rPr>
                      <w:szCs w:val="21"/>
                    </w:rPr>
                  </w:pPr>
                  <w:r>
                    <w:rPr>
                      <w:szCs w:val="21"/>
                    </w:rPr>
                    <w:t>亚硝酸盐</w:t>
                  </w:r>
                  <w:r>
                    <w:rPr>
                      <w:rFonts w:hint="eastAsia"/>
                      <w:szCs w:val="21"/>
                    </w:rPr>
                    <w:t>氮</w:t>
                  </w:r>
                </w:p>
              </w:tc>
              <w:tc>
                <w:tcPr>
                  <w:tcW w:w="2166" w:type="dxa"/>
                  <w:vAlign w:val="center"/>
                </w:tcPr>
                <w:p>
                  <w:pPr>
                    <w:jc w:val="center"/>
                    <w:rPr>
                      <w:szCs w:val="21"/>
                    </w:rPr>
                  </w:pPr>
                  <w:r>
                    <w:rPr>
                      <w:szCs w:val="21"/>
                    </w:rPr>
                    <w:t>0.003L</w:t>
                  </w:r>
                </w:p>
              </w:tc>
              <w:tc>
                <w:tcPr>
                  <w:tcW w:w="2146" w:type="dxa"/>
                  <w:vAlign w:val="center"/>
                </w:tcPr>
                <w:p>
                  <w:pPr>
                    <w:jc w:val="center"/>
                    <w:rPr>
                      <w:szCs w:val="21"/>
                    </w:rPr>
                  </w:pPr>
                  <w:r>
                    <w:rPr>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15</w:t>
                  </w:r>
                </w:p>
              </w:tc>
              <w:tc>
                <w:tcPr>
                  <w:tcW w:w="2627" w:type="dxa"/>
                  <w:vAlign w:val="center"/>
                </w:tcPr>
                <w:p>
                  <w:pPr>
                    <w:jc w:val="center"/>
                    <w:rPr>
                      <w:szCs w:val="21"/>
                    </w:rPr>
                  </w:pPr>
                  <w:r>
                    <w:rPr>
                      <w:szCs w:val="21"/>
                    </w:rPr>
                    <w:t>硝酸盐</w:t>
                  </w:r>
                  <w:r>
                    <w:rPr>
                      <w:rFonts w:hint="eastAsia"/>
                      <w:szCs w:val="21"/>
                    </w:rPr>
                    <w:t>氮</w:t>
                  </w:r>
                </w:p>
              </w:tc>
              <w:tc>
                <w:tcPr>
                  <w:tcW w:w="2166" w:type="dxa"/>
                  <w:vAlign w:val="center"/>
                </w:tcPr>
                <w:p>
                  <w:pPr>
                    <w:jc w:val="center"/>
                    <w:rPr>
                      <w:szCs w:val="21"/>
                    </w:rPr>
                  </w:pPr>
                  <w:r>
                    <w:rPr>
                      <w:szCs w:val="21"/>
                    </w:rPr>
                    <w:t>0.280</w:t>
                  </w:r>
                </w:p>
              </w:tc>
              <w:tc>
                <w:tcPr>
                  <w:tcW w:w="2146" w:type="dxa"/>
                  <w:vAlign w:val="center"/>
                </w:tcPr>
                <w:p>
                  <w:pPr>
                    <w:jc w:val="center"/>
                    <w:rPr>
                      <w:szCs w:val="21"/>
                    </w:rPr>
                  </w:pPr>
                  <w:r>
                    <w:rPr>
                      <w:szCs w:val="21"/>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16</w:t>
                  </w:r>
                </w:p>
              </w:tc>
              <w:tc>
                <w:tcPr>
                  <w:tcW w:w="2627" w:type="dxa"/>
                  <w:vAlign w:val="center"/>
                </w:tcPr>
                <w:p>
                  <w:pPr>
                    <w:jc w:val="center"/>
                    <w:rPr>
                      <w:szCs w:val="21"/>
                    </w:rPr>
                  </w:pPr>
                  <w:r>
                    <w:rPr>
                      <w:szCs w:val="21"/>
                    </w:rPr>
                    <w:t>氰化物</w:t>
                  </w:r>
                </w:p>
              </w:tc>
              <w:tc>
                <w:tcPr>
                  <w:tcW w:w="2166" w:type="dxa"/>
                  <w:vAlign w:val="center"/>
                </w:tcPr>
                <w:p>
                  <w:pPr>
                    <w:jc w:val="center"/>
                    <w:rPr>
                      <w:szCs w:val="21"/>
                    </w:rPr>
                  </w:pPr>
                  <w:r>
                    <w:rPr>
                      <w:szCs w:val="21"/>
                    </w:rPr>
                    <w:t>0.002L</w:t>
                  </w:r>
                </w:p>
              </w:tc>
              <w:tc>
                <w:tcPr>
                  <w:tcW w:w="2146" w:type="dxa"/>
                  <w:vAlign w:val="center"/>
                </w:tcPr>
                <w:p>
                  <w:pPr>
                    <w:jc w:val="center"/>
                    <w:rPr>
                      <w:szCs w:val="21"/>
                    </w:rPr>
                  </w:pPr>
                  <w:r>
                    <w:rPr>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17</w:t>
                  </w:r>
                </w:p>
              </w:tc>
              <w:tc>
                <w:tcPr>
                  <w:tcW w:w="2627" w:type="dxa"/>
                  <w:vAlign w:val="center"/>
                </w:tcPr>
                <w:p>
                  <w:pPr>
                    <w:jc w:val="center"/>
                    <w:rPr>
                      <w:szCs w:val="21"/>
                    </w:rPr>
                  </w:pPr>
                  <w:r>
                    <w:rPr>
                      <w:szCs w:val="21"/>
                    </w:rPr>
                    <w:t>氟化物</w:t>
                  </w:r>
                </w:p>
              </w:tc>
              <w:tc>
                <w:tcPr>
                  <w:tcW w:w="2166" w:type="dxa"/>
                  <w:vAlign w:val="center"/>
                </w:tcPr>
                <w:p>
                  <w:pPr>
                    <w:jc w:val="center"/>
                    <w:rPr>
                      <w:szCs w:val="21"/>
                    </w:rPr>
                  </w:pPr>
                  <w:r>
                    <w:rPr>
                      <w:szCs w:val="21"/>
                    </w:rPr>
                    <w:t>0.091</w:t>
                  </w:r>
                </w:p>
              </w:tc>
              <w:tc>
                <w:tcPr>
                  <w:tcW w:w="2146" w:type="dxa"/>
                  <w:vAlign w:val="center"/>
                </w:tcPr>
                <w:p>
                  <w:pPr>
                    <w:jc w:val="center"/>
                    <w:rPr>
                      <w:szCs w:val="21"/>
                    </w:rPr>
                  </w:pPr>
                  <w:r>
                    <w:rPr>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18</w:t>
                  </w:r>
                </w:p>
              </w:tc>
              <w:tc>
                <w:tcPr>
                  <w:tcW w:w="2627" w:type="dxa"/>
                  <w:vAlign w:val="center"/>
                </w:tcPr>
                <w:p>
                  <w:pPr>
                    <w:jc w:val="center"/>
                    <w:rPr>
                      <w:szCs w:val="21"/>
                    </w:rPr>
                  </w:pPr>
                  <w:r>
                    <w:rPr>
                      <w:szCs w:val="21"/>
                    </w:rPr>
                    <w:t>汞</w:t>
                  </w:r>
                </w:p>
              </w:tc>
              <w:tc>
                <w:tcPr>
                  <w:tcW w:w="2166" w:type="dxa"/>
                  <w:vAlign w:val="center"/>
                </w:tcPr>
                <w:p>
                  <w:pPr>
                    <w:jc w:val="center"/>
                    <w:rPr>
                      <w:szCs w:val="21"/>
                    </w:rPr>
                  </w:pPr>
                  <w:r>
                    <w:rPr>
                      <w:szCs w:val="21"/>
                    </w:rPr>
                    <w:t>0.02L</w:t>
                  </w:r>
                </w:p>
              </w:tc>
              <w:tc>
                <w:tcPr>
                  <w:tcW w:w="2146" w:type="dxa"/>
                  <w:vAlign w:val="center"/>
                </w:tcPr>
                <w:p>
                  <w:pPr>
                    <w:jc w:val="center"/>
                    <w:rPr>
                      <w:szCs w:val="21"/>
                    </w:rPr>
                  </w:pPr>
                  <w:r>
                    <w:rPr>
                      <w:szCs w:val="21"/>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19</w:t>
                  </w:r>
                </w:p>
              </w:tc>
              <w:tc>
                <w:tcPr>
                  <w:tcW w:w="2627" w:type="dxa"/>
                  <w:vAlign w:val="center"/>
                </w:tcPr>
                <w:p>
                  <w:pPr>
                    <w:jc w:val="center"/>
                    <w:rPr>
                      <w:szCs w:val="21"/>
                    </w:rPr>
                  </w:pPr>
                  <w:r>
                    <w:rPr>
                      <w:szCs w:val="21"/>
                    </w:rPr>
                    <w:t>砷</w:t>
                  </w:r>
                </w:p>
              </w:tc>
              <w:tc>
                <w:tcPr>
                  <w:tcW w:w="2166" w:type="dxa"/>
                  <w:vAlign w:val="center"/>
                </w:tcPr>
                <w:p>
                  <w:pPr>
                    <w:jc w:val="center"/>
                    <w:rPr>
                      <w:szCs w:val="21"/>
                    </w:rPr>
                  </w:pPr>
                  <w:r>
                    <w:rPr>
                      <w:szCs w:val="21"/>
                    </w:rPr>
                    <w:t>0.3L</w:t>
                  </w:r>
                </w:p>
              </w:tc>
              <w:tc>
                <w:tcPr>
                  <w:tcW w:w="2146" w:type="dxa"/>
                  <w:vAlign w:val="center"/>
                </w:tcPr>
                <w:p>
                  <w:pPr>
                    <w:jc w:val="center"/>
                    <w:rPr>
                      <w:szCs w:val="21"/>
                    </w:rPr>
                  </w:pPr>
                  <w:r>
                    <w:rPr>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20</w:t>
                  </w:r>
                </w:p>
              </w:tc>
              <w:tc>
                <w:tcPr>
                  <w:tcW w:w="2627" w:type="dxa"/>
                  <w:vAlign w:val="center"/>
                </w:tcPr>
                <w:p>
                  <w:pPr>
                    <w:jc w:val="center"/>
                    <w:rPr>
                      <w:szCs w:val="21"/>
                    </w:rPr>
                  </w:pPr>
                  <w:r>
                    <w:rPr>
                      <w:szCs w:val="21"/>
                    </w:rPr>
                    <w:t>镉</w:t>
                  </w:r>
                </w:p>
              </w:tc>
              <w:tc>
                <w:tcPr>
                  <w:tcW w:w="2166" w:type="dxa"/>
                  <w:vAlign w:val="center"/>
                </w:tcPr>
                <w:p>
                  <w:pPr>
                    <w:jc w:val="center"/>
                    <w:rPr>
                      <w:szCs w:val="21"/>
                    </w:rPr>
                  </w:pPr>
                  <w:r>
                    <w:rPr>
                      <w:szCs w:val="21"/>
                    </w:rPr>
                    <w:t>0.0001L</w:t>
                  </w:r>
                </w:p>
              </w:tc>
              <w:tc>
                <w:tcPr>
                  <w:tcW w:w="2146" w:type="dxa"/>
                  <w:vAlign w:val="center"/>
                </w:tcPr>
                <w:p>
                  <w:pPr>
                    <w:jc w:val="center"/>
                    <w:rPr>
                      <w:szCs w:val="21"/>
                    </w:rPr>
                  </w:pPr>
                  <w:r>
                    <w:rPr>
                      <w:szCs w:val="21"/>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21</w:t>
                  </w:r>
                </w:p>
              </w:tc>
              <w:tc>
                <w:tcPr>
                  <w:tcW w:w="2627" w:type="dxa"/>
                  <w:vAlign w:val="center"/>
                </w:tcPr>
                <w:p>
                  <w:pPr>
                    <w:jc w:val="center"/>
                    <w:rPr>
                      <w:szCs w:val="21"/>
                    </w:rPr>
                  </w:pPr>
                  <w:r>
                    <w:rPr>
                      <w:szCs w:val="21"/>
                    </w:rPr>
                    <w:t>铬（六价）</w:t>
                  </w:r>
                </w:p>
              </w:tc>
              <w:tc>
                <w:tcPr>
                  <w:tcW w:w="2166" w:type="dxa"/>
                  <w:vAlign w:val="center"/>
                </w:tcPr>
                <w:p>
                  <w:pPr>
                    <w:jc w:val="center"/>
                    <w:rPr>
                      <w:szCs w:val="21"/>
                    </w:rPr>
                  </w:pPr>
                  <w:r>
                    <w:rPr>
                      <w:szCs w:val="21"/>
                    </w:rPr>
                    <w:t>0.004L</w:t>
                  </w:r>
                </w:p>
              </w:tc>
              <w:tc>
                <w:tcPr>
                  <w:tcW w:w="2146" w:type="dxa"/>
                  <w:vAlign w:val="center"/>
                </w:tcPr>
                <w:p>
                  <w:pPr>
                    <w:jc w:val="center"/>
                    <w:rPr>
                      <w:szCs w:val="21"/>
                    </w:rPr>
                  </w:pPr>
                  <w:r>
                    <w:rPr>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22</w:t>
                  </w:r>
                </w:p>
              </w:tc>
              <w:tc>
                <w:tcPr>
                  <w:tcW w:w="2627" w:type="dxa"/>
                  <w:vAlign w:val="center"/>
                </w:tcPr>
                <w:p>
                  <w:pPr>
                    <w:jc w:val="center"/>
                    <w:rPr>
                      <w:szCs w:val="21"/>
                    </w:rPr>
                  </w:pPr>
                  <w:r>
                    <w:rPr>
                      <w:szCs w:val="21"/>
                    </w:rPr>
                    <w:t>铅</w:t>
                  </w:r>
                </w:p>
              </w:tc>
              <w:tc>
                <w:tcPr>
                  <w:tcW w:w="2166" w:type="dxa"/>
                  <w:vAlign w:val="center"/>
                </w:tcPr>
                <w:p>
                  <w:pPr>
                    <w:jc w:val="center"/>
                    <w:rPr>
                      <w:szCs w:val="21"/>
                    </w:rPr>
                  </w:pPr>
                  <w:r>
                    <w:rPr>
                      <w:szCs w:val="21"/>
                    </w:rPr>
                    <w:t>0.001L</w:t>
                  </w:r>
                </w:p>
              </w:tc>
              <w:tc>
                <w:tcPr>
                  <w:tcW w:w="2146" w:type="dxa"/>
                  <w:vAlign w:val="center"/>
                </w:tcPr>
                <w:p>
                  <w:pPr>
                    <w:jc w:val="center"/>
                    <w:rPr>
                      <w:szCs w:val="21"/>
                    </w:rPr>
                  </w:pPr>
                  <w:r>
                    <w:rPr>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23</w:t>
                  </w:r>
                </w:p>
              </w:tc>
              <w:tc>
                <w:tcPr>
                  <w:tcW w:w="2627" w:type="dxa"/>
                  <w:vAlign w:val="center"/>
                </w:tcPr>
                <w:p>
                  <w:pPr>
                    <w:jc w:val="center"/>
                    <w:rPr>
                      <w:szCs w:val="21"/>
                    </w:rPr>
                  </w:pPr>
                  <w:r>
                    <w:rPr>
                      <w:szCs w:val="21"/>
                    </w:rPr>
                    <w:t>K</w:t>
                  </w:r>
                  <w:r>
                    <w:rPr>
                      <w:szCs w:val="21"/>
                      <w:vertAlign w:val="superscript"/>
                    </w:rPr>
                    <w:t>+</w:t>
                  </w:r>
                </w:p>
              </w:tc>
              <w:tc>
                <w:tcPr>
                  <w:tcW w:w="2166" w:type="dxa"/>
                  <w:vAlign w:val="center"/>
                </w:tcPr>
                <w:p>
                  <w:pPr>
                    <w:jc w:val="center"/>
                    <w:rPr>
                      <w:szCs w:val="21"/>
                    </w:rPr>
                  </w:pPr>
                  <w:r>
                    <w:rPr>
                      <w:szCs w:val="21"/>
                    </w:rPr>
                    <w:t>0.96</w:t>
                  </w:r>
                </w:p>
              </w:tc>
              <w:tc>
                <w:tcPr>
                  <w:tcW w:w="2146" w:type="dxa"/>
                  <w:vAlign w:val="center"/>
                </w:tcPr>
                <w:p>
                  <w:pPr>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24</w:t>
                  </w:r>
                </w:p>
              </w:tc>
              <w:tc>
                <w:tcPr>
                  <w:tcW w:w="2627" w:type="dxa"/>
                  <w:vAlign w:val="center"/>
                </w:tcPr>
                <w:p>
                  <w:pPr>
                    <w:jc w:val="center"/>
                    <w:rPr>
                      <w:szCs w:val="21"/>
                    </w:rPr>
                  </w:pPr>
                  <w:r>
                    <w:rPr>
                      <w:szCs w:val="21"/>
                    </w:rPr>
                    <w:t>Ca</w:t>
                  </w:r>
                  <w:r>
                    <w:rPr>
                      <w:szCs w:val="21"/>
                      <w:vertAlign w:val="superscript"/>
                    </w:rPr>
                    <w:t>2+</w:t>
                  </w:r>
                </w:p>
              </w:tc>
              <w:tc>
                <w:tcPr>
                  <w:tcW w:w="2166" w:type="dxa"/>
                  <w:vAlign w:val="center"/>
                </w:tcPr>
                <w:p>
                  <w:pPr>
                    <w:jc w:val="center"/>
                    <w:rPr>
                      <w:szCs w:val="21"/>
                    </w:rPr>
                  </w:pPr>
                  <w:r>
                    <w:rPr>
                      <w:szCs w:val="21"/>
                    </w:rPr>
                    <w:t>3.30</w:t>
                  </w:r>
                </w:p>
              </w:tc>
              <w:tc>
                <w:tcPr>
                  <w:tcW w:w="2146" w:type="dxa"/>
                  <w:vAlign w:val="center"/>
                </w:tcPr>
                <w:p>
                  <w:pPr>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25</w:t>
                  </w:r>
                </w:p>
              </w:tc>
              <w:tc>
                <w:tcPr>
                  <w:tcW w:w="2627" w:type="dxa"/>
                  <w:vAlign w:val="center"/>
                </w:tcPr>
                <w:p>
                  <w:pPr>
                    <w:jc w:val="center"/>
                    <w:rPr>
                      <w:szCs w:val="21"/>
                    </w:rPr>
                  </w:pPr>
                  <w:r>
                    <w:rPr>
                      <w:szCs w:val="21"/>
                    </w:rPr>
                    <w:t>Mg</w:t>
                  </w:r>
                  <w:r>
                    <w:rPr>
                      <w:szCs w:val="21"/>
                      <w:vertAlign w:val="superscript"/>
                    </w:rPr>
                    <w:t>2+</w:t>
                  </w:r>
                </w:p>
              </w:tc>
              <w:tc>
                <w:tcPr>
                  <w:tcW w:w="2166" w:type="dxa"/>
                  <w:vAlign w:val="center"/>
                </w:tcPr>
                <w:p>
                  <w:pPr>
                    <w:jc w:val="center"/>
                    <w:rPr>
                      <w:szCs w:val="21"/>
                    </w:rPr>
                  </w:pPr>
                  <w:r>
                    <w:rPr>
                      <w:szCs w:val="21"/>
                    </w:rPr>
                    <w:t>2.51</w:t>
                  </w:r>
                </w:p>
              </w:tc>
              <w:tc>
                <w:tcPr>
                  <w:tcW w:w="2146" w:type="dxa"/>
                  <w:vAlign w:val="center"/>
                </w:tcPr>
                <w:p>
                  <w:pPr>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26</w:t>
                  </w:r>
                </w:p>
              </w:tc>
              <w:tc>
                <w:tcPr>
                  <w:tcW w:w="2627" w:type="dxa"/>
                  <w:vAlign w:val="center"/>
                </w:tcPr>
                <w:p>
                  <w:pPr>
                    <w:jc w:val="center"/>
                    <w:rPr>
                      <w:szCs w:val="21"/>
                    </w:rPr>
                  </w:pPr>
                  <w:r>
                    <w:rPr>
                      <w:szCs w:val="21"/>
                    </w:rPr>
                    <w:t>CO</w:t>
                  </w:r>
                  <w:r>
                    <w:rPr>
                      <w:szCs w:val="21"/>
                      <w:vertAlign w:val="subscript"/>
                    </w:rPr>
                    <w:t>3</w:t>
                  </w:r>
                  <w:r>
                    <w:rPr>
                      <w:szCs w:val="21"/>
                      <w:vertAlign w:val="superscript"/>
                    </w:rPr>
                    <w:t>2-</w:t>
                  </w:r>
                </w:p>
              </w:tc>
              <w:tc>
                <w:tcPr>
                  <w:tcW w:w="2166" w:type="dxa"/>
                  <w:vAlign w:val="center"/>
                </w:tcPr>
                <w:p>
                  <w:pPr>
                    <w:jc w:val="center"/>
                    <w:rPr>
                      <w:szCs w:val="21"/>
                    </w:rPr>
                  </w:pPr>
                  <w:r>
                    <w:rPr>
                      <w:szCs w:val="21"/>
                    </w:rPr>
                    <w:t>5L</w:t>
                  </w:r>
                </w:p>
              </w:tc>
              <w:tc>
                <w:tcPr>
                  <w:tcW w:w="2146" w:type="dxa"/>
                  <w:vAlign w:val="center"/>
                </w:tcPr>
                <w:p>
                  <w:pPr>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27</w:t>
                  </w:r>
                </w:p>
              </w:tc>
              <w:tc>
                <w:tcPr>
                  <w:tcW w:w="2627" w:type="dxa"/>
                  <w:vAlign w:val="center"/>
                </w:tcPr>
                <w:p>
                  <w:pPr>
                    <w:jc w:val="center"/>
                    <w:rPr>
                      <w:szCs w:val="21"/>
                    </w:rPr>
                  </w:pPr>
                  <w:r>
                    <w:rPr>
                      <w:szCs w:val="21"/>
                    </w:rPr>
                    <w:t>HCO</w:t>
                  </w:r>
                  <w:r>
                    <w:rPr>
                      <w:szCs w:val="21"/>
                      <w:vertAlign w:val="superscript"/>
                    </w:rPr>
                    <w:t>3-</w:t>
                  </w:r>
                </w:p>
              </w:tc>
              <w:tc>
                <w:tcPr>
                  <w:tcW w:w="2166" w:type="dxa"/>
                  <w:vAlign w:val="center"/>
                </w:tcPr>
                <w:p>
                  <w:pPr>
                    <w:jc w:val="center"/>
                    <w:rPr>
                      <w:szCs w:val="21"/>
                    </w:rPr>
                  </w:pPr>
                  <w:r>
                    <w:rPr>
                      <w:szCs w:val="21"/>
                    </w:rPr>
                    <w:t>42.5</w:t>
                  </w:r>
                </w:p>
              </w:tc>
              <w:tc>
                <w:tcPr>
                  <w:tcW w:w="2146" w:type="dxa"/>
                  <w:vAlign w:val="center"/>
                </w:tcPr>
                <w:p>
                  <w:pPr>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28</w:t>
                  </w:r>
                </w:p>
              </w:tc>
              <w:tc>
                <w:tcPr>
                  <w:tcW w:w="2627" w:type="dxa"/>
                  <w:vAlign w:val="center"/>
                </w:tcPr>
                <w:p>
                  <w:pPr>
                    <w:jc w:val="center"/>
                    <w:rPr>
                      <w:szCs w:val="21"/>
                    </w:rPr>
                  </w:pPr>
                  <w:r>
                    <w:rPr>
                      <w:szCs w:val="21"/>
                    </w:rPr>
                    <w:t>Cl</w:t>
                  </w:r>
                  <w:r>
                    <w:rPr>
                      <w:szCs w:val="21"/>
                      <w:vertAlign w:val="superscript"/>
                    </w:rPr>
                    <w:t>-</w:t>
                  </w:r>
                </w:p>
              </w:tc>
              <w:tc>
                <w:tcPr>
                  <w:tcW w:w="2166" w:type="dxa"/>
                  <w:vAlign w:val="center"/>
                </w:tcPr>
                <w:p>
                  <w:pPr>
                    <w:jc w:val="center"/>
                    <w:rPr>
                      <w:szCs w:val="21"/>
                    </w:rPr>
                  </w:pPr>
                  <w:r>
                    <w:rPr>
                      <w:szCs w:val="21"/>
                    </w:rPr>
                    <w:t>1.16</w:t>
                  </w:r>
                </w:p>
              </w:tc>
              <w:tc>
                <w:tcPr>
                  <w:tcW w:w="2146" w:type="dxa"/>
                  <w:vAlign w:val="center"/>
                </w:tcPr>
                <w:p>
                  <w:pPr>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20" w:type="dxa"/>
                  <w:vAlign w:val="center"/>
                </w:tcPr>
                <w:p>
                  <w:pPr>
                    <w:jc w:val="center"/>
                    <w:rPr>
                      <w:szCs w:val="21"/>
                    </w:rPr>
                  </w:pPr>
                  <w:r>
                    <w:rPr>
                      <w:szCs w:val="21"/>
                    </w:rPr>
                    <w:t>29</w:t>
                  </w:r>
                </w:p>
              </w:tc>
              <w:tc>
                <w:tcPr>
                  <w:tcW w:w="2627" w:type="dxa"/>
                  <w:vAlign w:val="center"/>
                </w:tcPr>
                <w:p>
                  <w:pPr>
                    <w:jc w:val="center"/>
                    <w:rPr>
                      <w:szCs w:val="21"/>
                    </w:rPr>
                  </w:pPr>
                  <w:r>
                    <w:rPr>
                      <w:szCs w:val="21"/>
                    </w:rPr>
                    <w:t>SO</w:t>
                  </w:r>
                  <w:r>
                    <w:rPr>
                      <w:szCs w:val="21"/>
                      <w:vertAlign w:val="subscript"/>
                    </w:rPr>
                    <w:t>4</w:t>
                  </w:r>
                  <w:r>
                    <w:rPr>
                      <w:szCs w:val="21"/>
                      <w:vertAlign w:val="superscript"/>
                    </w:rPr>
                    <w:t>2-</w:t>
                  </w:r>
                </w:p>
              </w:tc>
              <w:tc>
                <w:tcPr>
                  <w:tcW w:w="2166" w:type="dxa"/>
                  <w:vAlign w:val="center"/>
                </w:tcPr>
                <w:p>
                  <w:pPr>
                    <w:jc w:val="center"/>
                    <w:rPr>
                      <w:szCs w:val="21"/>
                    </w:rPr>
                  </w:pPr>
                  <w:r>
                    <w:rPr>
                      <w:szCs w:val="21"/>
                    </w:rPr>
                    <w:t>1.03</w:t>
                  </w:r>
                </w:p>
              </w:tc>
              <w:tc>
                <w:tcPr>
                  <w:tcW w:w="2146" w:type="dxa"/>
                  <w:vAlign w:val="center"/>
                </w:tcPr>
                <w:p>
                  <w:pPr>
                    <w:jc w:val="center"/>
                    <w:rPr>
                      <w:szCs w:val="21"/>
                    </w:rPr>
                  </w:pPr>
                  <w:r>
                    <w:rPr>
                      <w:szCs w:val="21"/>
                    </w:rPr>
                    <w:t>-</w:t>
                  </w:r>
                </w:p>
              </w:tc>
            </w:tr>
          </w:tbl>
          <w:p>
            <w:pPr>
              <w:rPr>
                <w:b/>
                <w:szCs w:val="21"/>
              </w:rPr>
            </w:pPr>
            <w:r>
              <w:rPr>
                <w:b/>
                <w:bCs/>
                <w:szCs w:val="21"/>
              </w:rPr>
              <w:t>*注</w:t>
            </w:r>
            <w:r>
              <w:rPr>
                <w:b/>
                <w:bCs/>
                <w:spacing w:val="-20"/>
                <w:szCs w:val="21"/>
              </w:rPr>
              <w:t>：</w:t>
            </w:r>
            <w:r>
              <w:rPr>
                <w:b/>
                <w:bCs/>
                <w:szCs w:val="21"/>
              </w:rPr>
              <w:t>L代表低于检出限浓度。</w:t>
            </w:r>
          </w:p>
          <w:p>
            <w:pPr>
              <w:spacing w:line="480" w:lineRule="exact"/>
              <w:ind w:firstLine="480" w:firstLineChars="200"/>
              <w:rPr>
                <w:sz w:val="24"/>
                <w:szCs w:val="20"/>
              </w:rPr>
            </w:pPr>
            <w:r>
              <w:rPr>
                <w:rFonts w:hint="eastAsia"/>
                <w:sz w:val="24"/>
                <w:szCs w:val="20"/>
              </w:rPr>
              <w:t>④地下水环境现状评价方法</w:t>
            </w:r>
          </w:p>
          <w:p>
            <w:pPr>
              <w:spacing w:line="480" w:lineRule="exact"/>
              <w:ind w:firstLine="480" w:firstLineChars="200"/>
              <w:rPr>
                <w:sz w:val="24"/>
                <w:szCs w:val="20"/>
              </w:rPr>
            </w:pPr>
            <w:r>
              <w:rPr>
                <w:rFonts w:hint="eastAsia"/>
                <w:sz w:val="24"/>
                <w:szCs w:val="20"/>
              </w:rPr>
              <w:t>a.</w:t>
            </w:r>
            <w:r>
              <w:rPr>
                <w:sz w:val="24"/>
                <w:szCs w:val="20"/>
              </w:rPr>
              <w:t>评价标准</w:t>
            </w:r>
          </w:p>
          <w:p>
            <w:pPr>
              <w:spacing w:line="480" w:lineRule="exact"/>
              <w:ind w:firstLine="480" w:firstLineChars="200"/>
              <w:rPr>
                <w:sz w:val="24"/>
                <w:szCs w:val="20"/>
              </w:rPr>
            </w:pPr>
            <w:r>
              <w:rPr>
                <w:sz w:val="24"/>
                <w:szCs w:val="20"/>
              </w:rPr>
              <w:t>评价标准采用《地下水质量标准》（GB/T14848-2017）中的</w:t>
            </w:r>
            <w:r>
              <w:rPr>
                <w:rFonts w:hint="eastAsia" w:hAnsi="宋体" w:cs="宋体"/>
                <w:sz w:val="24"/>
                <w:szCs w:val="20"/>
              </w:rPr>
              <w:t>Ⅲ</w:t>
            </w:r>
            <w:r>
              <w:rPr>
                <w:sz w:val="24"/>
                <w:szCs w:val="20"/>
              </w:rPr>
              <w:t>类标准。</w:t>
            </w:r>
          </w:p>
          <w:p>
            <w:pPr>
              <w:spacing w:line="480" w:lineRule="exact"/>
              <w:ind w:firstLine="480" w:firstLineChars="200"/>
              <w:rPr>
                <w:sz w:val="24"/>
                <w:szCs w:val="20"/>
              </w:rPr>
            </w:pPr>
            <w:r>
              <w:rPr>
                <w:rFonts w:hint="eastAsia"/>
                <w:sz w:val="24"/>
                <w:szCs w:val="20"/>
              </w:rPr>
              <w:t>b.</w:t>
            </w:r>
            <w:r>
              <w:rPr>
                <w:sz w:val="24"/>
                <w:szCs w:val="20"/>
              </w:rPr>
              <w:t>评价方法</w:t>
            </w:r>
          </w:p>
          <w:p>
            <w:pPr>
              <w:spacing w:line="480" w:lineRule="exact"/>
              <w:ind w:firstLine="480" w:firstLineChars="200"/>
              <w:rPr>
                <w:spacing w:val="20"/>
                <w:sz w:val="24"/>
              </w:rPr>
            </w:pPr>
            <w:r>
              <w:rPr>
                <w:sz w:val="24"/>
              </w:rPr>
              <w:t>采用标准指数法。其标准指数计算公式如下：</w:t>
            </w:r>
          </w:p>
          <w:p>
            <w:pPr>
              <w:spacing w:before="120" w:beforeLines="50" w:after="120" w:afterLines="50"/>
              <w:ind w:firstLine="3217" w:firstLineChars="1149"/>
              <w:rPr>
                <w:spacing w:val="20"/>
                <w:sz w:val="24"/>
              </w:rPr>
            </w:pPr>
            <w:r>
              <w:rPr>
                <w:spacing w:val="20"/>
                <w:sz w:val="24"/>
              </w:rPr>
              <w:t>Pi=Ci/Csi</w:t>
            </w:r>
          </w:p>
          <w:p>
            <w:pPr>
              <w:spacing w:line="480" w:lineRule="exact"/>
              <w:ind w:firstLine="480" w:firstLineChars="200"/>
              <w:rPr>
                <w:sz w:val="24"/>
                <w:szCs w:val="20"/>
              </w:rPr>
            </w:pPr>
            <w:r>
              <w:rPr>
                <w:sz w:val="24"/>
                <w:szCs w:val="20"/>
              </w:rPr>
              <w:t>对于评价标准为区间值的水质因子（如pH值）其标准指数计算公式：</w:t>
            </w:r>
          </w:p>
          <w:p>
            <w:pPr>
              <w:ind w:firstLine="3217" w:firstLineChars="1149"/>
              <w:rPr>
                <w:spacing w:val="20"/>
                <w:sz w:val="24"/>
              </w:rPr>
            </w:pPr>
            <w:r>
              <w:rPr>
                <w:spacing w:val="20"/>
                <w:position w:val="-30"/>
                <w:sz w:val="24"/>
              </w:rPr>
              <w:object>
                <v:shape id="_x0000_i1026" o:spt="75" type="#_x0000_t75" style="height:35.7pt;width:145.9pt;" o:ole="t" fillcolor="#000005" filled="t" coordsize="21600,21600">
                  <v:path/>
                  <v:fill on="t" focussize="0,0"/>
                  <v:stroke/>
                  <v:imagedata r:id="rId22" o:title=""/>
                  <o:lock v:ext="edit" aspectratio="t"/>
                  <w10:wrap type="none"/>
                  <w10:anchorlock/>
                </v:shape>
                <o:OLEObject Type="Embed" ProgID="Equation.3" ShapeID="_x0000_i1026" DrawAspect="Content" ObjectID="_1468075726" r:id="rId21">
                  <o:LockedField>false</o:LockedField>
                </o:OLEObject>
              </w:object>
            </w:r>
          </w:p>
          <w:p>
            <w:pPr>
              <w:ind w:firstLine="3217" w:firstLineChars="1149"/>
              <w:rPr>
                <w:spacing w:val="20"/>
                <w:sz w:val="24"/>
              </w:rPr>
            </w:pPr>
          </w:p>
          <w:p>
            <w:pPr>
              <w:ind w:firstLine="3217" w:firstLineChars="1149"/>
              <w:rPr>
                <w:spacing w:val="20"/>
                <w:sz w:val="24"/>
              </w:rPr>
            </w:pPr>
            <w:r>
              <w:rPr>
                <w:spacing w:val="20"/>
                <w:position w:val="-30"/>
                <w:sz w:val="24"/>
              </w:rPr>
              <w:object>
                <v:shape id="_x0000_i1027" o:spt="75" type="#_x0000_t75" style="height:35.7pt;width:145.9pt;" o:ole="t" fillcolor="#000005" filled="t" coordsize="21600,21600">
                  <v:path/>
                  <v:fill on="t" focussize="0,0"/>
                  <v:stroke/>
                  <v:imagedata r:id="rId24" o:title=""/>
                  <o:lock v:ext="edit" aspectratio="t"/>
                  <w10:wrap type="none"/>
                  <w10:anchorlock/>
                </v:shape>
                <o:OLEObject Type="Embed" ProgID="Equation.3" ShapeID="_x0000_i1027" DrawAspect="Content" ObjectID="_1468075727" r:id="rId23">
                  <o:LockedField>false</o:LockedField>
                </o:OLEObject>
              </w:object>
            </w:r>
          </w:p>
          <w:p>
            <w:pPr>
              <w:spacing w:line="480" w:lineRule="exact"/>
              <w:ind w:firstLine="480" w:firstLineChars="200"/>
              <w:rPr>
                <w:sz w:val="24"/>
              </w:rPr>
            </w:pPr>
            <w:r>
              <w:rPr>
                <w:sz w:val="24"/>
              </w:rPr>
              <w:t>式中：Pi –第i个水质因子的标准指数，量纲为1；</w:t>
            </w:r>
          </w:p>
          <w:p>
            <w:pPr>
              <w:spacing w:line="480" w:lineRule="exact"/>
              <w:ind w:firstLine="480" w:firstLineChars="200"/>
              <w:rPr>
                <w:sz w:val="24"/>
              </w:rPr>
            </w:pPr>
            <w:r>
              <w:rPr>
                <w:sz w:val="24"/>
              </w:rPr>
              <w:t xml:space="preserve">      Ci --第i个水质因子的监测质量浓度值（mg/L）；</w:t>
            </w:r>
          </w:p>
          <w:p>
            <w:pPr>
              <w:spacing w:line="480" w:lineRule="exact"/>
              <w:ind w:firstLine="480" w:firstLineChars="200"/>
              <w:rPr>
                <w:sz w:val="24"/>
              </w:rPr>
            </w:pPr>
            <w:r>
              <w:rPr>
                <w:sz w:val="24"/>
              </w:rPr>
              <w:t xml:space="preserve">      Csi --第i个水质因子的标准质量浓度值（mg/L）；</w:t>
            </w:r>
          </w:p>
          <w:p>
            <w:pPr>
              <w:spacing w:line="480" w:lineRule="exact"/>
              <w:ind w:firstLine="480" w:firstLineChars="200"/>
              <w:rPr>
                <w:sz w:val="24"/>
              </w:rPr>
            </w:pPr>
            <w:r>
              <w:rPr>
                <w:iCs/>
                <w:sz w:val="24"/>
              </w:rPr>
              <w:t xml:space="preserve">      pH</w:t>
            </w:r>
            <w:r>
              <w:rPr>
                <w:iCs/>
                <w:sz w:val="24"/>
                <w:vertAlign w:val="subscript"/>
              </w:rPr>
              <w:t>sd</w:t>
            </w:r>
            <w:r>
              <w:rPr>
                <w:sz w:val="24"/>
              </w:rPr>
              <w:t>—pH值标准规定的下限值；</w:t>
            </w:r>
          </w:p>
          <w:p>
            <w:pPr>
              <w:spacing w:line="480" w:lineRule="exact"/>
              <w:ind w:firstLine="480" w:firstLineChars="200"/>
              <w:rPr>
                <w:sz w:val="24"/>
              </w:rPr>
            </w:pPr>
            <w:r>
              <w:rPr>
                <w:iCs/>
                <w:sz w:val="24"/>
              </w:rPr>
              <w:t xml:space="preserve">      pH</w:t>
            </w:r>
            <w:r>
              <w:rPr>
                <w:iCs/>
                <w:sz w:val="24"/>
                <w:vertAlign w:val="subscript"/>
              </w:rPr>
              <w:t>su</w:t>
            </w:r>
            <w:r>
              <w:rPr>
                <w:sz w:val="24"/>
              </w:rPr>
              <w:t>-- pH值标准规定的上限值。</w:t>
            </w:r>
          </w:p>
          <w:p>
            <w:pPr>
              <w:spacing w:line="480" w:lineRule="exact"/>
              <w:ind w:firstLine="480" w:firstLineChars="200"/>
              <w:rPr>
                <w:sz w:val="24"/>
                <w:szCs w:val="20"/>
              </w:rPr>
            </w:pPr>
            <w:r>
              <w:rPr>
                <w:sz w:val="24"/>
              </w:rPr>
              <w:t>水质参数的标准指数&gt;1，表明该水质参数超过了规定的水质标准，已经不能满足使用要求。</w:t>
            </w:r>
          </w:p>
          <w:p>
            <w:pPr>
              <w:spacing w:line="480" w:lineRule="exact"/>
              <w:ind w:firstLine="480" w:firstLineChars="200"/>
              <w:rPr>
                <w:sz w:val="24"/>
                <w:szCs w:val="20"/>
              </w:rPr>
            </w:pPr>
            <w:r>
              <w:rPr>
                <w:rFonts w:hint="eastAsia"/>
                <w:sz w:val="24"/>
                <w:szCs w:val="20"/>
              </w:rPr>
              <w:t>c.</w:t>
            </w:r>
            <w:r>
              <w:rPr>
                <w:sz w:val="24"/>
                <w:szCs w:val="20"/>
              </w:rPr>
              <w:t>评价结果及分析</w:t>
            </w:r>
          </w:p>
          <w:p>
            <w:pPr>
              <w:spacing w:line="480" w:lineRule="exact"/>
              <w:ind w:firstLine="480" w:firstLineChars="200"/>
              <w:rPr>
                <w:spacing w:val="16"/>
                <w:sz w:val="24"/>
                <w:szCs w:val="20"/>
              </w:rPr>
            </w:pPr>
            <w:r>
              <w:rPr>
                <w:sz w:val="24"/>
                <w:szCs w:val="20"/>
              </w:rPr>
              <w:t>单项污染指数计算结果见表</w:t>
            </w:r>
            <w:r>
              <w:rPr>
                <w:rFonts w:hint="eastAsia"/>
                <w:sz w:val="24"/>
                <w:szCs w:val="20"/>
              </w:rPr>
              <w:t>3-7</w:t>
            </w:r>
            <w:r>
              <w:rPr>
                <w:sz w:val="24"/>
                <w:szCs w:val="20"/>
              </w:rPr>
              <w:t>。</w:t>
            </w:r>
          </w:p>
          <w:p>
            <w:pPr>
              <w:spacing w:line="276" w:lineRule="auto"/>
              <w:jc w:val="center"/>
              <w:rPr>
                <w:rFonts w:hint="eastAsia" w:hAnsi="宋体"/>
                <w:b/>
                <w:bCs/>
                <w:kern w:val="0"/>
                <w:sz w:val="24"/>
              </w:rPr>
            </w:pPr>
            <w:r>
              <w:rPr>
                <w:rFonts w:hAnsi="宋体"/>
                <w:b/>
                <w:bCs/>
                <w:kern w:val="0"/>
                <w:sz w:val="24"/>
              </w:rPr>
              <w:t>表</w:t>
            </w:r>
            <w:r>
              <w:rPr>
                <w:rFonts w:hint="eastAsia" w:hAnsi="宋体"/>
                <w:b/>
                <w:bCs/>
                <w:kern w:val="0"/>
                <w:sz w:val="24"/>
              </w:rPr>
              <w:t>3-7</w:t>
            </w:r>
            <w:r>
              <w:rPr>
                <w:rFonts w:hAnsi="宋体"/>
                <w:b/>
                <w:bCs/>
                <w:kern w:val="0"/>
                <w:sz w:val="24"/>
              </w:rPr>
              <w:t xml:space="preserve">  地下水水质单项污染指数计算结果</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91"/>
              <w:gridCol w:w="2568"/>
              <w:gridCol w:w="2117"/>
              <w:gridCol w:w="20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41" w:type="dxa"/>
                  <w:vAlign w:val="center"/>
                </w:tcPr>
                <w:p>
                  <w:pPr>
                    <w:jc w:val="center"/>
                    <w:rPr>
                      <w:szCs w:val="21"/>
                    </w:rPr>
                  </w:pPr>
                  <w:r>
                    <w:rPr>
                      <w:szCs w:val="21"/>
                    </w:rPr>
                    <w:t>序号</w:t>
                  </w:r>
                </w:p>
              </w:tc>
              <w:tc>
                <w:tcPr>
                  <w:tcW w:w="2458" w:type="dxa"/>
                  <w:vAlign w:val="center"/>
                </w:tcPr>
                <w:p>
                  <w:pPr>
                    <w:jc w:val="center"/>
                    <w:rPr>
                      <w:szCs w:val="21"/>
                    </w:rPr>
                  </w:pPr>
                  <w:r>
                    <w:rPr>
                      <w:szCs w:val="21"/>
                    </w:rPr>
                    <w:t>监测项目</w:t>
                  </w:r>
                </w:p>
              </w:tc>
              <w:tc>
                <w:tcPr>
                  <w:tcW w:w="2026" w:type="dxa"/>
                  <w:vAlign w:val="center"/>
                </w:tcPr>
                <w:p>
                  <w:pPr>
                    <w:jc w:val="center"/>
                    <w:rPr>
                      <w:szCs w:val="21"/>
                    </w:rPr>
                  </w:pPr>
                  <w:r>
                    <w:rPr>
                      <w:rFonts w:hint="eastAsia"/>
                      <w:szCs w:val="21"/>
                    </w:rPr>
                    <w:t>项目位置</w:t>
                  </w:r>
                </w:p>
              </w:tc>
              <w:tc>
                <w:tcPr>
                  <w:tcW w:w="2008" w:type="dxa"/>
                  <w:vAlign w:val="center"/>
                </w:tcPr>
                <w:p>
                  <w:pPr>
                    <w:jc w:val="center"/>
                    <w:rPr>
                      <w:szCs w:val="21"/>
                    </w:rPr>
                  </w:pPr>
                  <w:r>
                    <w:rPr>
                      <w:rFonts w:hint="eastAsia"/>
                      <w:szCs w:val="21"/>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1</w:t>
                  </w:r>
                </w:p>
              </w:tc>
              <w:tc>
                <w:tcPr>
                  <w:tcW w:w="2458" w:type="dxa"/>
                  <w:vAlign w:val="center"/>
                </w:tcPr>
                <w:p>
                  <w:pPr>
                    <w:jc w:val="center"/>
                    <w:rPr>
                      <w:szCs w:val="21"/>
                    </w:rPr>
                  </w:pPr>
                  <w:r>
                    <w:rPr>
                      <w:szCs w:val="21"/>
                    </w:rPr>
                    <w:t>pH</w:t>
                  </w:r>
                </w:p>
              </w:tc>
              <w:tc>
                <w:tcPr>
                  <w:tcW w:w="2026" w:type="dxa"/>
                  <w:vAlign w:val="center"/>
                </w:tcPr>
                <w:p>
                  <w:pPr>
                    <w:jc w:val="center"/>
                    <w:rPr>
                      <w:szCs w:val="21"/>
                    </w:rPr>
                  </w:pPr>
                  <w:r>
                    <w:rPr>
                      <w:rFonts w:hint="eastAsia"/>
                      <w:szCs w:val="21"/>
                    </w:rPr>
                    <w:t>0.47</w:t>
                  </w:r>
                </w:p>
              </w:tc>
              <w:tc>
                <w:tcPr>
                  <w:tcW w:w="2008" w:type="dxa"/>
                  <w:vAlign w:val="center"/>
                </w:tcPr>
                <w:p>
                  <w:pPr>
                    <w:jc w:val="center"/>
                    <w:rPr>
                      <w:szCs w:val="21"/>
                    </w:rPr>
                  </w:pPr>
                  <w:r>
                    <w:rPr>
                      <w:szCs w:val="21"/>
                    </w:rPr>
                    <w:t>6.5-8.5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2</w:t>
                  </w:r>
                </w:p>
              </w:tc>
              <w:tc>
                <w:tcPr>
                  <w:tcW w:w="2458" w:type="dxa"/>
                  <w:vAlign w:val="center"/>
                </w:tcPr>
                <w:p>
                  <w:pPr>
                    <w:jc w:val="center"/>
                    <w:rPr>
                      <w:szCs w:val="21"/>
                    </w:rPr>
                  </w:pPr>
                  <w:r>
                    <w:rPr>
                      <w:szCs w:val="21"/>
                    </w:rPr>
                    <w:t>总硬度（以CaCO</w:t>
                  </w:r>
                  <w:r>
                    <w:rPr>
                      <w:szCs w:val="21"/>
                      <w:vertAlign w:val="subscript"/>
                    </w:rPr>
                    <w:t>3</w:t>
                  </w:r>
                  <w:r>
                    <w:rPr>
                      <w:szCs w:val="21"/>
                    </w:rPr>
                    <w:t>计）</w:t>
                  </w:r>
                </w:p>
              </w:tc>
              <w:tc>
                <w:tcPr>
                  <w:tcW w:w="2026" w:type="dxa"/>
                  <w:vAlign w:val="center"/>
                </w:tcPr>
                <w:p>
                  <w:pPr>
                    <w:jc w:val="center"/>
                    <w:rPr>
                      <w:szCs w:val="21"/>
                    </w:rPr>
                  </w:pPr>
                  <w:r>
                    <w:rPr>
                      <w:rFonts w:hint="eastAsia"/>
                      <w:szCs w:val="21"/>
                    </w:rPr>
                    <w:t>0.92</w:t>
                  </w:r>
                </w:p>
              </w:tc>
              <w:tc>
                <w:tcPr>
                  <w:tcW w:w="2008" w:type="dxa"/>
                  <w:vAlign w:val="center"/>
                </w:tcPr>
                <w:p>
                  <w:pPr>
                    <w:jc w:val="center"/>
                    <w:rPr>
                      <w:szCs w:val="21"/>
                    </w:rPr>
                  </w:pPr>
                  <w:r>
                    <w:rPr>
                      <w:szCs w:val="21"/>
                    </w:rPr>
                    <w:t>450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3</w:t>
                  </w:r>
                </w:p>
              </w:tc>
              <w:tc>
                <w:tcPr>
                  <w:tcW w:w="2458" w:type="dxa"/>
                  <w:vAlign w:val="center"/>
                </w:tcPr>
                <w:p>
                  <w:pPr>
                    <w:jc w:val="center"/>
                    <w:rPr>
                      <w:szCs w:val="21"/>
                    </w:rPr>
                  </w:pPr>
                  <w:r>
                    <w:rPr>
                      <w:szCs w:val="21"/>
                    </w:rPr>
                    <w:t>溶解性总固体</w:t>
                  </w:r>
                </w:p>
              </w:tc>
              <w:tc>
                <w:tcPr>
                  <w:tcW w:w="2026" w:type="dxa"/>
                  <w:vAlign w:val="center"/>
                </w:tcPr>
                <w:p>
                  <w:pPr>
                    <w:jc w:val="center"/>
                    <w:rPr>
                      <w:szCs w:val="21"/>
                    </w:rPr>
                  </w:pPr>
                  <w:r>
                    <w:rPr>
                      <w:rFonts w:hint="eastAsia"/>
                      <w:szCs w:val="21"/>
                    </w:rPr>
                    <w:t>0.04</w:t>
                  </w:r>
                </w:p>
              </w:tc>
              <w:tc>
                <w:tcPr>
                  <w:tcW w:w="2008" w:type="dxa"/>
                  <w:vAlign w:val="center"/>
                </w:tcPr>
                <w:p>
                  <w:pPr>
                    <w:jc w:val="center"/>
                    <w:rPr>
                      <w:szCs w:val="21"/>
                    </w:rPr>
                  </w:pPr>
                  <w:r>
                    <w:rPr>
                      <w:szCs w:val="21"/>
                    </w:rPr>
                    <w:t>1000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4</w:t>
                  </w:r>
                </w:p>
              </w:tc>
              <w:tc>
                <w:tcPr>
                  <w:tcW w:w="2458" w:type="dxa"/>
                  <w:vAlign w:val="center"/>
                </w:tcPr>
                <w:p>
                  <w:pPr>
                    <w:jc w:val="center"/>
                    <w:rPr>
                      <w:szCs w:val="21"/>
                    </w:rPr>
                  </w:pPr>
                  <w:r>
                    <w:rPr>
                      <w:szCs w:val="21"/>
                    </w:rPr>
                    <w:t>硫酸盐</w:t>
                  </w:r>
                </w:p>
              </w:tc>
              <w:tc>
                <w:tcPr>
                  <w:tcW w:w="2026" w:type="dxa"/>
                  <w:vAlign w:val="center"/>
                </w:tcPr>
                <w:p>
                  <w:pPr>
                    <w:jc w:val="center"/>
                    <w:rPr>
                      <w:szCs w:val="21"/>
                    </w:rPr>
                  </w:pPr>
                  <w:r>
                    <w:rPr>
                      <w:rFonts w:hint="eastAsia"/>
                      <w:szCs w:val="21"/>
                    </w:rPr>
                    <w:t>0.004</w:t>
                  </w:r>
                </w:p>
              </w:tc>
              <w:tc>
                <w:tcPr>
                  <w:tcW w:w="2008" w:type="dxa"/>
                  <w:vAlign w:val="center"/>
                </w:tcPr>
                <w:p>
                  <w:pPr>
                    <w:jc w:val="center"/>
                    <w:rPr>
                      <w:szCs w:val="21"/>
                    </w:rPr>
                  </w:pPr>
                  <w:r>
                    <w:rPr>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5</w:t>
                  </w:r>
                </w:p>
              </w:tc>
              <w:tc>
                <w:tcPr>
                  <w:tcW w:w="2458" w:type="dxa"/>
                  <w:vAlign w:val="center"/>
                </w:tcPr>
                <w:p>
                  <w:pPr>
                    <w:jc w:val="center"/>
                    <w:rPr>
                      <w:szCs w:val="21"/>
                    </w:rPr>
                  </w:pPr>
                  <w:r>
                    <w:rPr>
                      <w:szCs w:val="21"/>
                    </w:rPr>
                    <w:t>氯化物</w:t>
                  </w:r>
                </w:p>
              </w:tc>
              <w:tc>
                <w:tcPr>
                  <w:tcW w:w="2026" w:type="dxa"/>
                  <w:vAlign w:val="center"/>
                </w:tcPr>
                <w:p>
                  <w:pPr>
                    <w:jc w:val="center"/>
                    <w:rPr>
                      <w:szCs w:val="21"/>
                    </w:rPr>
                  </w:pPr>
                  <w:r>
                    <w:rPr>
                      <w:rFonts w:hint="eastAsia"/>
                      <w:szCs w:val="21"/>
                    </w:rPr>
                    <w:t>0.005</w:t>
                  </w:r>
                </w:p>
              </w:tc>
              <w:tc>
                <w:tcPr>
                  <w:tcW w:w="2008" w:type="dxa"/>
                  <w:vAlign w:val="center"/>
                </w:tcPr>
                <w:p>
                  <w:pPr>
                    <w:jc w:val="center"/>
                    <w:rPr>
                      <w:szCs w:val="21"/>
                    </w:rPr>
                  </w:pPr>
                  <w:r>
                    <w:rPr>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6</w:t>
                  </w:r>
                </w:p>
              </w:tc>
              <w:tc>
                <w:tcPr>
                  <w:tcW w:w="2458" w:type="dxa"/>
                  <w:vAlign w:val="center"/>
                </w:tcPr>
                <w:p>
                  <w:pPr>
                    <w:jc w:val="center"/>
                    <w:rPr>
                      <w:szCs w:val="21"/>
                    </w:rPr>
                  </w:pPr>
                  <w:r>
                    <w:rPr>
                      <w:szCs w:val="21"/>
                    </w:rPr>
                    <w:t>铁</w:t>
                  </w:r>
                </w:p>
              </w:tc>
              <w:tc>
                <w:tcPr>
                  <w:tcW w:w="2026" w:type="dxa"/>
                  <w:vAlign w:val="center"/>
                </w:tcPr>
                <w:p>
                  <w:pPr>
                    <w:jc w:val="center"/>
                    <w:rPr>
                      <w:szCs w:val="21"/>
                    </w:rPr>
                  </w:pPr>
                  <w:r>
                    <w:rPr>
                      <w:rFonts w:hint="eastAsia"/>
                      <w:szCs w:val="21"/>
                    </w:rPr>
                    <w:t>/</w:t>
                  </w:r>
                </w:p>
              </w:tc>
              <w:tc>
                <w:tcPr>
                  <w:tcW w:w="2008" w:type="dxa"/>
                  <w:vAlign w:val="center"/>
                </w:tcPr>
                <w:p>
                  <w:pPr>
                    <w:jc w:val="center"/>
                    <w:rPr>
                      <w:szCs w:val="21"/>
                    </w:rPr>
                  </w:pPr>
                  <w:r>
                    <w:rPr>
                      <w:szCs w:val="21"/>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7</w:t>
                  </w:r>
                </w:p>
              </w:tc>
              <w:tc>
                <w:tcPr>
                  <w:tcW w:w="2458" w:type="dxa"/>
                  <w:vAlign w:val="center"/>
                </w:tcPr>
                <w:p>
                  <w:pPr>
                    <w:jc w:val="center"/>
                    <w:rPr>
                      <w:szCs w:val="21"/>
                    </w:rPr>
                  </w:pPr>
                  <w:r>
                    <w:rPr>
                      <w:szCs w:val="21"/>
                    </w:rPr>
                    <w:t>锰</w:t>
                  </w:r>
                </w:p>
              </w:tc>
              <w:tc>
                <w:tcPr>
                  <w:tcW w:w="2026" w:type="dxa"/>
                  <w:vAlign w:val="center"/>
                </w:tcPr>
                <w:p>
                  <w:pPr>
                    <w:jc w:val="center"/>
                  </w:pPr>
                  <w:r>
                    <w:rPr>
                      <w:rFonts w:hint="eastAsia"/>
                      <w:szCs w:val="21"/>
                    </w:rPr>
                    <w:t>/</w:t>
                  </w:r>
                </w:p>
              </w:tc>
              <w:tc>
                <w:tcPr>
                  <w:tcW w:w="2008" w:type="dxa"/>
                  <w:vAlign w:val="center"/>
                </w:tcPr>
                <w:p>
                  <w:pPr>
                    <w:jc w:val="center"/>
                    <w:rPr>
                      <w:szCs w:val="21"/>
                    </w:rPr>
                  </w:pPr>
                  <w:r>
                    <w:rPr>
                      <w:szCs w:val="21"/>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8</w:t>
                  </w:r>
                </w:p>
              </w:tc>
              <w:tc>
                <w:tcPr>
                  <w:tcW w:w="2458" w:type="dxa"/>
                  <w:vAlign w:val="center"/>
                </w:tcPr>
                <w:p>
                  <w:pPr>
                    <w:jc w:val="center"/>
                    <w:rPr>
                      <w:szCs w:val="21"/>
                    </w:rPr>
                  </w:pPr>
                  <w:r>
                    <w:rPr>
                      <w:szCs w:val="21"/>
                    </w:rPr>
                    <w:t>挥发性酚类（以苯酚计）</w:t>
                  </w:r>
                </w:p>
              </w:tc>
              <w:tc>
                <w:tcPr>
                  <w:tcW w:w="2026" w:type="dxa"/>
                  <w:vAlign w:val="center"/>
                </w:tcPr>
                <w:p>
                  <w:pPr>
                    <w:jc w:val="center"/>
                  </w:pPr>
                  <w:r>
                    <w:rPr>
                      <w:rFonts w:hint="eastAsia"/>
                      <w:szCs w:val="21"/>
                    </w:rPr>
                    <w:t>/</w:t>
                  </w:r>
                </w:p>
              </w:tc>
              <w:tc>
                <w:tcPr>
                  <w:tcW w:w="2008" w:type="dxa"/>
                  <w:vAlign w:val="center"/>
                </w:tcPr>
                <w:p>
                  <w:pPr>
                    <w:jc w:val="center"/>
                    <w:rPr>
                      <w:szCs w:val="21"/>
                    </w:rPr>
                  </w:pPr>
                  <w:r>
                    <w:rPr>
                      <w:szCs w:val="21"/>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9</w:t>
                  </w:r>
                </w:p>
              </w:tc>
              <w:tc>
                <w:tcPr>
                  <w:tcW w:w="2458" w:type="dxa"/>
                  <w:vAlign w:val="center"/>
                </w:tcPr>
                <w:p>
                  <w:pPr>
                    <w:jc w:val="center"/>
                    <w:rPr>
                      <w:szCs w:val="21"/>
                    </w:rPr>
                  </w:pPr>
                  <w:r>
                    <w:rPr>
                      <w:szCs w:val="21"/>
                    </w:rPr>
                    <w:t>耗氧量（以O</w:t>
                  </w:r>
                  <w:r>
                    <w:rPr>
                      <w:szCs w:val="21"/>
                      <w:vertAlign w:val="subscript"/>
                    </w:rPr>
                    <w:t>2</w:t>
                  </w:r>
                  <w:r>
                    <w:rPr>
                      <w:szCs w:val="21"/>
                    </w:rPr>
                    <w:t>计）</w:t>
                  </w:r>
                </w:p>
              </w:tc>
              <w:tc>
                <w:tcPr>
                  <w:tcW w:w="2026" w:type="dxa"/>
                  <w:vAlign w:val="center"/>
                </w:tcPr>
                <w:p>
                  <w:pPr>
                    <w:jc w:val="center"/>
                    <w:rPr>
                      <w:szCs w:val="21"/>
                    </w:rPr>
                  </w:pPr>
                  <w:r>
                    <w:rPr>
                      <w:rFonts w:hint="eastAsia"/>
                      <w:szCs w:val="21"/>
                    </w:rPr>
                    <w:t>0.6</w:t>
                  </w:r>
                </w:p>
              </w:tc>
              <w:tc>
                <w:tcPr>
                  <w:tcW w:w="2008" w:type="dxa"/>
                  <w:vAlign w:val="center"/>
                </w:tcPr>
                <w:p>
                  <w:pPr>
                    <w:jc w:val="center"/>
                    <w:rPr>
                      <w:szCs w:val="21"/>
                    </w:rPr>
                  </w:pPr>
                  <w:r>
                    <w:rPr>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10</w:t>
                  </w:r>
                </w:p>
              </w:tc>
              <w:tc>
                <w:tcPr>
                  <w:tcW w:w="2458" w:type="dxa"/>
                  <w:vAlign w:val="center"/>
                </w:tcPr>
                <w:p>
                  <w:pPr>
                    <w:jc w:val="center"/>
                    <w:rPr>
                      <w:szCs w:val="21"/>
                    </w:rPr>
                  </w:pPr>
                  <w:r>
                    <w:rPr>
                      <w:szCs w:val="21"/>
                    </w:rPr>
                    <w:t>氨氮（以N计）</w:t>
                  </w:r>
                </w:p>
              </w:tc>
              <w:tc>
                <w:tcPr>
                  <w:tcW w:w="2026" w:type="dxa"/>
                  <w:vAlign w:val="center"/>
                </w:tcPr>
                <w:p>
                  <w:pPr>
                    <w:jc w:val="center"/>
                    <w:rPr>
                      <w:szCs w:val="21"/>
                    </w:rPr>
                  </w:pPr>
                  <w:r>
                    <w:rPr>
                      <w:szCs w:val="21"/>
                    </w:rPr>
                    <w:t>/</w:t>
                  </w:r>
                </w:p>
              </w:tc>
              <w:tc>
                <w:tcPr>
                  <w:tcW w:w="2008" w:type="dxa"/>
                  <w:vAlign w:val="center"/>
                </w:tcPr>
                <w:p>
                  <w:pPr>
                    <w:jc w:val="center"/>
                    <w:rPr>
                      <w:szCs w:val="21"/>
                    </w:rPr>
                  </w:pPr>
                  <w:r>
                    <w:rPr>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11</w:t>
                  </w:r>
                </w:p>
              </w:tc>
              <w:tc>
                <w:tcPr>
                  <w:tcW w:w="2458" w:type="dxa"/>
                  <w:vAlign w:val="center"/>
                </w:tcPr>
                <w:p>
                  <w:pPr>
                    <w:jc w:val="center"/>
                    <w:rPr>
                      <w:szCs w:val="21"/>
                    </w:rPr>
                  </w:pPr>
                  <w:r>
                    <w:rPr>
                      <w:szCs w:val="21"/>
                    </w:rPr>
                    <w:t>Na</w:t>
                  </w:r>
                  <w:r>
                    <w:rPr>
                      <w:szCs w:val="21"/>
                      <w:vertAlign w:val="superscript"/>
                    </w:rPr>
                    <w:t>+</w:t>
                  </w:r>
                </w:p>
              </w:tc>
              <w:tc>
                <w:tcPr>
                  <w:tcW w:w="2026" w:type="dxa"/>
                  <w:vAlign w:val="center"/>
                </w:tcPr>
                <w:p>
                  <w:pPr>
                    <w:jc w:val="center"/>
                    <w:rPr>
                      <w:szCs w:val="21"/>
                    </w:rPr>
                  </w:pPr>
                  <w:r>
                    <w:rPr>
                      <w:rFonts w:hint="eastAsia"/>
                      <w:szCs w:val="21"/>
                    </w:rPr>
                    <w:t>0.04</w:t>
                  </w:r>
                </w:p>
              </w:tc>
              <w:tc>
                <w:tcPr>
                  <w:tcW w:w="2008" w:type="dxa"/>
                  <w:vAlign w:val="center"/>
                </w:tcPr>
                <w:p>
                  <w:pPr>
                    <w:jc w:val="center"/>
                    <w:rPr>
                      <w:szCs w:val="21"/>
                    </w:rPr>
                  </w:pPr>
                  <w:r>
                    <w:rPr>
                      <w:szCs w:val="21"/>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12</w:t>
                  </w:r>
                </w:p>
              </w:tc>
              <w:tc>
                <w:tcPr>
                  <w:tcW w:w="2458" w:type="dxa"/>
                  <w:vAlign w:val="center"/>
                </w:tcPr>
                <w:p>
                  <w:pPr>
                    <w:jc w:val="center"/>
                    <w:rPr>
                      <w:szCs w:val="21"/>
                    </w:rPr>
                  </w:pPr>
                  <w:r>
                    <w:rPr>
                      <w:szCs w:val="21"/>
                    </w:rPr>
                    <w:t>总大肠菌群（MPN/100mL）</w:t>
                  </w:r>
                </w:p>
              </w:tc>
              <w:tc>
                <w:tcPr>
                  <w:tcW w:w="2026" w:type="dxa"/>
                  <w:vAlign w:val="center"/>
                </w:tcPr>
                <w:p>
                  <w:pPr>
                    <w:jc w:val="center"/>
                    <w:rPr>
                      <w:szCs w:val="21"/>
                    </w:rPr>
                  </w:pPr>
                  <w:r>
                    <w:rPr>
                      <w:rFonts w:hint="eastAsia"/>
                      <w:szCs w:val="21"/>
                    </w:rPr>
                    <w:t>/</w:t>
                  </w:r>
                </w:p>
              </w:tc>
              <w:tc>
                <w:tcPr>
                  <w:tcW w:w="2008" w:type="dxa"/>
                  <w:vAlign w:val="center"/>
                </w:tcPr>
                <w:p>
                  <w:pPr>
                    <w:jc w:val="center"/>
                    <w:rPr>
                      <w:szCs w:val="21"/>
                    </w:rPr>
                  </w:pPr>
                  <w:r>
                    <w:rPr>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13</w:t>
                  </w:r>
                </w:p>
              </w:tc>
              <w:tc>
                <w:tcPr>
                  <w:tcW w:w="2458" w:type="dxa"/>
                  <w:vAlign w:val="center"/>
                </w:tcPr>
                <w:p>
                  <w:pPr>
                    <w:jc w:val="center"/>
                    <w:rPr>
                      <w:szCs w:val="21"/>
                    </w:rPr>
                  </w:pPr>
                  <w:r>
                    <w:rPr>
                      <w:szCs w:val="21"/>
                    </w:rPr>
                    <w:t>细菌总数（CFU/mL）</w:t>
                  </w:r>
                </w:p>
              </w:tc>
              <w:tc>
                <w:tcPr>
                  <w:tcW w:w="2026" w:type="dxa"/>
                  <w:vAlign w:val="center"/>
                </w:tcPr>
                <w:p>
                  <w:pPr>
                    <w:jc w:val="center"/>
                    <w:rPr>
                      <w:szCs w:val="21"/>
                    </w:rPr>
                  </w:pPr>
                  <w:r>
                    <w:rPr>
                      <w:rFonts w:hint="eastAsia"/>
                      <w:szCs w:val="21"/>
                    </w:rPr>
                    <w:t>0.52</w:t>
                  </w:r>
                </w:p>
              </w:tc>
              <w:tc>
                <w:tcPr>
                  <w:tcW w:w="2008" w:type="dxa"/>
                  <w:vAlign w:val="center"/>
                </w:tcPr>
                <w:p>
                  <w:pPr>
                    <w:jc w:val="center"/>
                    <w:rPr>
                      <w:szCs w:val="21"/>
                    </w:rPr>
                  </w:pPr>
                  <w:r>
                    <w:rPr>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14</w:t>
                  </w:r>
                </w:p>
              </w:tc>
              <w:tc>
                <w:tcPr>
                  <w:tcW w:w="2458" w:type="dxa"/>
                  <w:vAlign w:val="center"/>
                </w:tcPr>
                <w:p>
                  <w:pPr>
                    <w:jc w:val="center"/>
                    <w:rPr>
                      <w:szCs w:val="21"/>
                    </w:rPr>
                  </w:pPr>
                  <w:r>
                    <w:rPr>
                      <w:szCs w:val="21"/>
                    </w:rPr>
                    <w:t>亚硝酸盐（以N计）</w:t>
                  </w:r>
                </w:p>
              </w:tc>
              <w:tc>
                <w:tcPr>
                  <w:tcW w:w="2026" w:type="dxa"/>
                  <w:vAlign w:val="center"/>
                </w:tcPr>
                <w:p>
                  <w:pPr>
                    <w:jc w:val="center"/>
                    <w:rPr>
                      <w:szCs w:val="21"/>
                    </w:rPr>
                  </w:pPr>
                  <w:r>
                    <w:rPr>
                      <w:rFonts w:hint="eastAsia"/>
                      <w:szCs w:val="21"/>
                    </w:rPr>
                    <w:t>/</w:t>
                  </w:r>
                </w:p>
              </w:tc>
              <w:tc>
                <w:tcPr>
                  <w:tcW w:w="2008" w:type="dxa"/>
                  <w:vAlign w:val="center"/>
                </w:tcPr>
                <w:p>
                  <w:pPr>
                    <w:jc w:val="center"/>
                    <w:rPr>
                      <w:szCs w:val="21"/>
                    </w:rPr>
                  </w:pPr>
                  <w:r>
                    <w:rPr>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15</w:t>
                  </w:r>
                </w:p>
              </w:tc>
              <w:tc>
                <w:tcPr>
                  <w:tcW w:w="2458" w:type="dxa"/>
                  <w:vAlign w:val="center"/>
                </w:tcPr>
                <w:p>
                  <w:pPr>
                    <w:jc w:val="center"/>
                    <w:rPr>
                      <w:szCs w:val="21"/>
                    </w:rPr>
                  </w:pPr>
                  <w:r>
                    <w:rPr>
                      <w:szCs w:val="21"/>
                    </w:rPr>
                    <w:t>硝酸盐（以N计）</w:t>
                  </w:r>
                </w:p>
              </w:tc>
              <w:tc>
                <w:tcPr>
                  <w:tcW w:w="2026" w:type="dxa"/>
                  <w:vAlign w:val="center"/>
                </w:tcPr>
                <w:p>
                  <w:pPr>
                    <w:jc w:val="center"/>
                    <w:rPr>
                      <w:szCs w:val="21"/>
                    </w:rPr>
                  </w:pPr>
                  <w:r>
                    <w:rPr>
                      <w:rFonts w:hint="eastAsia"/>
                      <w:szCs w:val="21"/>
                    </w:rPr>
                    <w:t>0.01</w:t>
                  </w:r>
                </w:p>
              </w:tc>
              <w:tc>
                <w:tcPr>
                  <w:tcW w:w="2008" w:type="dxa"/>
                  <w:vAlign w:val="center"/>
                </w:tcPr>
                <w:p>
                  <w:pPr>
                    <w:jc w:val="center"/>
                    <w:rPr>
                      <w:szCs w:val="21"/>
                    </w:rPr>
                  </w:pPr>
                  <w:r>
                    <w:rPr>
                      <w:szCs w:val="21"/>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16</w:t>
                  </w:r>
                </w:p>
              </w:tc>
              <w:tc>
                <w:tcPr>
                  <w:tcW w:w="2458" w:type="dxa"/>
                  <w:vAlign w:val="center"/>
                </w:tcPr>
                <w:p>
                  <w:pPr>
                    <w:jc w:val="center"/>
                    <w:rPr>
                      <w:szCs w:val="21"/>
                    </w:rPr>
                  </w:pPr>
                  <w:r>
                    <w:rPr>
                      <w:szCs w:val="21"/>
                    </w:rPr>
                    <w:t>氰化物</w:t>
                  </w:r>
                </w:p>
              </w:tc>
              <w:tc>
                <w:tcPr>
                  <w:tcW w:w="2026" w:type="dxa"/>
                  <w:vAlign w:val="center"/>
                </w:tcPr>
                <w:p>
                  <w:pPr>
                    <w:jc w:val="center"/>
                    <w:rPr>
                      <w:szCs w:val="21"/>
                    </w:rPr>
                  </w:pPr>
                  <w:r>
                    <w:rPr>
                      <w:rFonts w:hint="eastAsia"/>
                      <w:szCs w:val="21"/>
                    </w:rPr>
                    <w:t>/</w:t>
                  </w:r>
                </w:p>
              </w:tc>
              <w:tc>
                <w:tcPr>
                  <w:tcW w:w="2008" w:type="dxa"/>
                  <w:vAlign w:val="center"/>
                </w:tcPr>
                <w:p>
                  <w:pPr>
                    <w:jc w:val="center"/>
                    <w:rPr>
                      <w:szCs w:val="21"/>
                    </w:rPr>
                  </w:pPr>
                  <w:r>
                    <w:rPr>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17</w:t>
                  </w:r>
                </w:p>
              </w:tc>
              <w:tc>
                <w:tcPr>
                  <w:tcW w:w="2458" w:type="dxa"/>
                  <w:vAlign w:val="center"/>
                </w:tcPr>
                <w:p>
                  <w:pPr>
                    <w:jc w:val="center"/>
                    <w:rPr>
                      <w:szCs w:val="21"/>
                    </w:rPr>
                  </w:pPr>
                  <w:r>
                    <w:rPr>
                      <w:szCs w:val="21"/>
                    </w:rPr>
                    <w:t>氟化物</w:t>
                  </w:r>
                </w:p>
              </w:tc>
              <w:tc>
                <w:tcPr>
                  <w:tcW w:w="2026" w:type="dxa"/>
                  <w:vAlign w:val="center"/>
                </w:tcPr>
                <w:p>
                  <w:pPr>
                    <w:jc w:val="center"/>
                    <w:rPr>
                      <w:szCs w:val="21"/>
                    </w:rPr>
                  </w:pPr>
                  <w:r>
                    <w:rPr>
                      <w:rFonts w:hint="eastAsia"/>
                      <w:szCs w:val="21"/>
                    </w:rPr>
                    <w:t>0.09</w:t>
                  </w:r>
                </w:p>
              </w:tc>
              <w:tc>
                <w:tcPr>
                  <w:tcW w:w="2008" w:type="dxa"/>
                  <w:vAlign w:val="center"/>
                </w:tcPr>
                <w:p>
                  <w:pPr>
                    <w:jc w:val="center"/>
                    <w:rPr>
                      <w:szCs w:val="21"/>
                    </w:rPr>
                  </w:pPr>
                  <w:r>
                    <w:rPr>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18</w:t>
                  </w:r>
                </w:p>
              </w:tc>
              <w:tc>
                <w:tcPr>
                  <w:tcW w:w="2458" w:type="dxa"/>
                  <w:vAlign w:val="center"/>
                </w:tcPr>
                <w:p>
                  <w:pPr>
                    <w:jc w:val="center"/>
                    <w:rPr>
                      <w:szCs w:val="21"/>
                    </w:rPr>
                  </w:pPr>
                  <w:r>
                    <w:rPr>
                      <w:szCs w:val="21"/>
                    </w:rPr>
                    <w:t>汞</w:t>
                  </w:r>
                </w:p>
              </w:tc>
              <w:tc>
                <w:tcPr>
                  <w:tcW w:w="2026" w:type="dxa"/>
                  <w:vAlign w:val="center"/>
                </w:tcPr>
                <w:p>
                  <w:pPr>
                    <w:jc w:val="center"/>
                    <w:rPr>
                      <w:szCs w:val="21"/>
                    </w:rPr>
                  </w:pPr>
                  <w:r>
                    <w:rPr>
                      <w:rFonts w:hint="eastAsia"/>
                      <w:szCs w:val="21"/>
                    </w:rPr>
                    <w:t>/</w:t>
                  </w:r>
                </w:p>
              </w:tc>
              <w:tc>
                <w:tcPr>
                  <w:tcW w:w="2008" w:type="dxa"/>
                  <w:vAlign w:val="center"/>
                </w:tcPr>
                <w:p>
                  <w:pPr>
                    <w:jc w:val="center"/>
                    <w:rPr>
                      <w:szCs w:val="21"/>
                    </w:rPr>
                  </w:pPr>
                  <w:r>
                    <w:rPr>
                      <w:szCs w:val="21"/>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19</w:t>
                  </w:r>
                </w:p>
              </w:tc>
              <w:tc>
                <w:tcPr>
                  <w:tcW w:w="2458" w:type="dxa"/>
                  <w:vAlign w:val="center"/>
                </w:tcPr>
                <w:p>
                  <w:pPr>
                    <w:jc w:val="center"/>
                    <w:rPr>
                      <w:szCs w:val="21"/>
                    </w:rPr>
                  </w:pPr>
                  <w:r>
                    <w:rPr>
                      <w:szCs w:val="21"/>
                    </w:rPr>
                    <w:t>砷</w:t>
                  </w:r>
                </w:p>
              </w:tc>
              <w:tc>
                <w:tcPr>
                  <w:tcW w:w="2026" w:type="dxa"/>
                  <w:vAlign w:val="center"/>
                </w:tcPr>
                <w:p>
                  <w:pPr>
                    <w:jc w:val="center"/>
                  </w:pPr>
                  <w:r>
                    <w:rPr>
                      <w:rFonts w:hint="eastAsia"/>
                      <w:szCs w:val="21"/>
                    </w:rPr>
                    <w:t>/</w:t>
                  </w:r>
                </w:p>
              </w:tc>
              <w:tc>
                <w:tcPr>
                  <w:tcW w:w="2008" w:type="dxa"/>
                  <w:vAlign w:val="center"/>
                </w:tcPr>
                <w:p>
                  <w:pPr>
                    <w:jc w:val="center"/>
                    <w:rPr>
                      <w:szCs w:val="21"/>
                    </w:rPr>
                  </w:pPr>
                  <w:r>
                    <w:rPr>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20</w:t>
                  </w:r>
                </w:p>
              </w:tc>
              <w:tc>
                <w:tcPr>
                  <w:tcW w:w="2458" w:type="dxa"/>
                  <w:vAlign w:val="center"/>
                </w:tcPr>
                <w:p>
                  <w:pPr>
                    <w:jc w:val="center"/>
                    <w:rPr>
                      <w:szCs w:val="21"/>
                    </w:rPr>
                  </w:pPr>
                  <w:r>
                    <w:rPr>
                      <w:szCs w:val="21"/>
                    </w:rPr>
                    <w:t>镉</w:t>
                  </w:r>
                </w:p>
              </w:tc>
              <w:tc>
                <w:tcPr>
                  <w:tcW w:w="2026" w:type="dxa"/>
                  <w:vAlign w:val="center"/>
                </w:tcPr>
                <w:p>
                  <w:pPr>
                    <w:jc w:val="center"/>
                  </w:pPr>
                  <w:r>
                    <w:rPr>
                      <w:rFonts w:hint="eastAsia"/>
                      <w:szCs w:val="21"/>
                    </w:rPr>
                    <w:t>/</w:t>
                  </w:r>
                </w:p>
              </w:tc>
              <w:tc>
                <w:tcPr>
                  <w:tcW w:w="2008" w:type="dxa"/>
                  <w:vAlign w:val="center"/>
                </w:tcPr>
                <w:p>
                  <w:pPr>
                    <w:jc w:val="center"/>
                    <w:rPr>
                      <w:szCs w:val="21"/>
                    </w:rPr>
                  </w:pPr>
                  <w:r>
                    <w:rPr>
                      <w:szCs w:val="21"/>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21</w:t>
                  </w:r>
                </w:p>
              </w:tc>
              <w:tc>
                <w:tcPr>
                  <w:tcW w:w="2458" w:type="dxa"/>
                  <w:vAlign w:val="center"/>
                </w:tcPr>
                <w:p>
                  <w:pPr>
                    <w:jc w:val="center"/>
                    <w:rPr>
                      <w:szCs w:val="21"/>
                    </w:rPr>
                  </w:pPr>
                  <w:r>
                    <w:rPr>
                      <w:szCs w:val="21"/>
                    </w:rPr>
                    <w:t>铬（六价）</w:t>
                  </w:r>
                </w:p>
              </w:tc>
              <w:tc>
                <w:tcPr>
                  <w:tcW w:w="2026" w:type="dxa"/>
                  <w:vAlign w:val="center"/>
                </w:tcPr>
                <w:p>
                  <w:pPr>
                    <w:jc w:val="center"/>
                  </w:pPr>
                  <w:r>
                    <w:rPr>
                      <w:rFonts w:hint="eastAsia"/>
                      <w:szCs w:val="21"/>
                    </w:rPr>
                    <w:t>/</w:t>
                  </w:r>
                </w:p>
              </w:tc>
              <w:tc>
                <w:tcPr>
                  <w:tcW w:w="2008" w:type="dxa"/>
                  <w:vAlign w:val="center"/>
                </w:tcPr>
                <w:p>
                  <w:pPr>
                    <w:jc w:val="center"/>
                    <w:rPr>
                      <w:szCs w:val="21"/>
                    </w:rPr>
                  </w:pPr>
                  <w:r>
                    <w:rPr>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22</w:t>
                  </w:r>
                </w:p>
              </w:tc>
              <w:tc>
                <w:tcPr>
                  <w:tcW w:w="2458" w:type="dxa"/>
                  <w:vAlign w:val="center"/>
                </w:tcPr>
                <w:p>
                  <w:pPr>
                    <w:jc w:val="center"/>
                    <w:rPr>
                      <w:szCs w:val="21"/>
                    </w:rPr>
                  </w:pPr>
                  <w:r>
                    <w:rPr>
                      <w:szCs w:val="21"/>
                    </w:rPr>
                    <w:t>铅</w:t>
                  </w:r>
                </w:p>
              </w:tc>
              <w:tc>
                <w:tcPr>
                  <w:tcW w:w="2026" w:type="dxa"/>
                  <w:vAlign w:val="center"/>
                </w:tcPr>
                <w:p>
                  <w:pPr>
                    <w:jc w:val="center"/>
                  </w:pPr>
                  <w:r>
                    <w:rPr>
                      <w:rFonts w:hint="eastAsia"/>
                      <w:szCs w:val="21"/>
                    </w:rPr>
                    <w:t>/</w:t>
                  </w:r>
                </w:p>
              </w:tc>
              <w:tc>
                <w:tcPr>
                  <w:tcW w:w="2008" w:type="dxa"/>
                  <w:vAlign w:val="center"/>
                </w:tcPr>
                <w:p>
                  <w:pPr>
                    <w:jc w:val="center"/>
                    <w:rPr>
                      <w:szCs w:val="21"/>
                    </w:rPr>
                  </w:pPr>
                  <w:r>
                    <w:rPr>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23</w:t>
                  </w:r>
                </w:p>
              </w:tc>
              <w:tc>
                <w:tcPr>
                  <w:tcW w:w="2458" w:type="dxa"/>
                  <w:vAlign w:val="center"/>
                </w:tcPr>
                <w:p>
                  <w:pPr>
                    <w:jc w:val="center"/>
                    <w:rPr>
                      <w:szCs w:val="21"/>
                    </w:rPr>
                  </w:pPr>
                  <w:r>
                    <w:rPr>
                      <w:szCs w:val="21"/>
                    </w:rPr>
                    <w:t>K</w:t>
                  </w:r>
                  <w:r>
                    <w:rPr>
                      <w:szCs w:val="21"/>
                      <w:vertAlign w:val="superscript"/>
                    </w:rPr>
                    <w:t>+</w:t>
                  </w:r>
                </w:p>
              </w:tc>
              <w:tc>
                <w:tcPr>
                  <w:tcW w:w="2026" w:type="dxa"/>
                  <w:vAlign w:val="center"/>
                </w:tcPr>
                <w:p>
                  <w:pPr>
                    <w:jc w:val="center"/>
                  </w:pPr>
                  <w:r>
                    <w:rPr>
                      <w:rFonts w:hint="eastAsia"/>
                      <w:szCs w:val="21"/>
                    </w:rPr>
                    <w:t>/</w:t>
                  </w:r>
                </w:p>
              </w:tc>
              <w:tc>
                <w:tcPr>
                  <w:tcW w:w="2008" w:type="dxa"/>
                  <w:vAlign w:val="center"/>
                </w:tcPr>
                <w:p>
                  <w:pPr>
                    <w:jc w:val="center"/>
                  </w:pP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24</w:t>
                  </w:r>
                </w:p>
              </w:tc>
              <w:tc>
                <w:tcPr>
                  <w:tcW w:w="2458" w:type="dxa"/>
                  <w:vAlign w:val="center"/>
                </w:tcPr>
                <w:p>
                  <w:pPr>
                    <w:jc w:val="center"/>
                    <w:rPr>
                      <w:szCs w:val="21"/>
                    </w:rPr>
                  </w:pPr>
                  <w:r>
                    <w:rPr>
                      <w:szCs w:val="21"/>
                    </w:rPr>
                    <w:t>Ca</w:t>
                  </w:r>
                  <w:r>
                    <w:rPr>
                      <w:szCs w:val="21"/>
                      <w:vertAlign w:val="superscript"/>
                    </w:rPr>
                    <w:t>2+</w:t>
                  </w:r>
                </w:p>
              </w:tc>
              <w:tc>
                <w:tcPr>
                  <w:tcW w:w="2026" w:type="dxa"/>
                  <w:vAlign w:val="center"/>
                </w:tcPr>
                <w:p>
                  <w:pPr>
                    <w:jc w:val="center"/>
                  </w:pPr>
                  <w:r>
                    <w:rPr>
                      <w:rFonts w:hint="eastAsia"/>
                      <w:szCs w:val="21"/>
                    </w:rPr>
                    <w:t>/</w:t>
                  </w:r>
                </w:p>
              </w:tc>
              <w:tc>
                <w:tcPr>
                  <w:tcW w:w="2008" w:type="dxa"/>
                  <w:vAlign w:val="center"/>
                </w:tcPr>
                <w:p>
                  <w:pPr>
                    <w:jc w:val="center"/>
                  </w:pP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25</w:t>
                  </w:r>
                </w:p>
              </w:tc>
              <w:tc>
                <w:tcPr>
                  <w:tcW w:w="2458" w:type="dxa"/>
                  <w:vAlign w:val="center"/>
                </w:tcPr>
                <w:p>
                  <w:pPr>
                    <w:jc w:val="center"/>
                    <w:rPr>
                      <w:szCs w:val="21"/>
                    </w:rPr>
                  </w:pPr>
                  <w:r>
                    <w:rPr>
                      <w:szCs w:val="21"/>
                    </w:rPr>
                    <w:t>Mg</w:t>
                  </w:r>
                  <w:r>
                    <w:rPr>
                      <w:szCs w:val="21"/>
                      <w:vertAlign w:val="superscript"/>
                    </w:rPr>
                    <w:t>2+</w:t>
                  </w:r>
                </w:p>
              </w:tc>
              <w:tc>
                <w:tcPr>
                  <w:tcW w:w="2026" w:type="dxa"/>
                  <w:vAlign w:val="center"/>
                </w:tcPr>
                <w:p>
                  <w:pPr>
                    <w:jc w:val="center"/>
                  </w:pPr>
                  <w:r>
                    <w:rPr>
                      <w:rFonts w:hint="eastAsia"/>
                      <w:szCs w:val="21"/>
                    </w:rPr>
                    <w:t>/</w:t>
                  </w:r>
                </w:p>
              </w:tc>
              <w:tc>
                <w:tcPr>
                  <w:tcW w:w="2008" w:type="dxa"/>
                  <w:vAlign w:val="center"/>
                </w:tcPr>
                <w:p>
                  <w:pPr>
                    <w:jc w:val="center"/>
                  </w:pP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26</w:t>
                  </w:r>
                </w:p>
              </w:tc>
              <w:tc>
                <w:tcPr>
                  <w:tcW w:w="2458" w:type="dxa"/>
                  <w:vAlign w:val="center"/>
                </w:tcPr>
                <w:p>
                  <w:pPr>
                    <w:jc w:val="center"/>
                    <w:rPr>
                      <w:szCs w:val="21"/>
                    </w:rPr>
                  </w:pPr>
                  <w:r>
                    <w:rPr>
                      <w:szCs w:val="21"/>
                    </w:rPr>
                    <w:t>CO</w:t>
                  </w:r>
                  <w:r>
                    <w:rPr>
                      <w:szCs w:val="21"/>
                      <w:vertAlign w:val="subscript"/>
                    </w:rPr>
                    <w:t>3</w:t>
                  </w:r>
                  <w:r>
                    <w:rPr>
                      <w:szCs w:val="21"/>
                      <w:vertAlign w:val="superscript"/>
                    </w:rPr>
                    <w:t>2-</w:t>
                  </w:r>
                </w:p>
              </w:tc>
              <w:tc>
                <w:tcPr>
                  <w:tcW w:w="2026" w:type="dxa"/>
                  <w:vAlign w:val="center"/>
                </w:tcPr>
                <w:p>
                  <w:pPr>
                    <w:jc w:val="center"/>
                  </w:pPr>
                  <w:r>
                    <w:rPr>
                      <w:rFonts w:hint="eastAsia"/>
                      <w:szCs w:val="21"/>
                    </w:rPr>
                    <w:t>/</w:t>
                  </w:r>
                </w:p>
              </w:tc>
              <w:tc>
                <w:tcPr>
                  <w:tcW w:w="2008" w:type="dxa"/>
                  <w:vAlign w:val="center"/>
                </w:tcPr>
                <w:p>
                  <w:pPr>
                    <w:jc w:val="center"/>
                  </w:pP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27</w:t>
                  </w:r>
                </w:p>
              </w:tc>
              <w:tc>
                <w:tcPr>
                  <w:tcW w:w="2458" w:type="dxa"/>
                  <w:vAlign w:val="center"/>
                </w:tcPr>
                <w:p>
                  <w:pPr>
                    <w:jc w:val="center"/>
                    <w:rPr>
                      <w:szCs w:val="21"/>
                    </w:rPr>
                  </w:pPr>
                  <w:r>
                    <w:rPr>
                      <w:szCs w:val="21"/>
                    </w:rPr>
                    <w:t>HCO</w:t>
                  </w:r>
                  <w:r>
                    <w:rPr>
                      <w:szCs w:val="21"/>
                      <w:vertAlign w:val="superscript"/>
                    </w:rPr>
                    <w:t>3-</w:t>
                  </w:r>
                </w:p>
              </w:tc>
              <w:tc>
                <w:tcPr>
                  <w:tcW w:w="2026" w:type="dxa"/>
                  <w:vAlign w:val="center"/>
                </w:tcPr>
                <w:p>
                  <w:pPr>
                    <w:jc w:val="center"/>
                  </w:pPr>
                  <w:r>
                    <w:rPr>
                      <w:rFonts w:hint="eastAsia"/>
                      <w:szCs w:val="21"/>
                    </w:rPr>
                    <w:t>/</w:t>
                  </w:r>
                </w:p>
              </w:tc>
              <w:tc>
                <w:tcPr>
                  <w:tcW w:w="2008" w:type="dxa"/>
                  <w:vAlign w:val="center"/>
                </w:tcPr>
                <w:p>
                  <w:pPr>
                    <w:jc w:val="center"/>
                  </w:pP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28</w:t>
                  </w:r>
                </w:p>
              </w:tc>
              <w:tc>
                <w:tcPr>
                  <w:tcW w:w="2458" w:type="dxa"/>
                  <w:vAlign w:val="center"/>
                </w:tcPr>
                <w:p>
                  <w:pPr>
                    <w:jc w:val="center"/>
                    <w:rPr>
                      <w:szCs w:val="21"/>
                    </w:rPr>
                  </w:pPr>
                  <w:r>
                    <w:rPr>
                      <w:szCs w:val="21"/>
                    </w:rPr>
                    <w:t>Cl</w:t>
                  </w:r>
                  <w:r>
                    <w:rPr>
                      <w:szCs w:val="21"/>
                      <w:vertAlign w:val="superscript"/>
                    </w:rPr>
                    <w:t>-</w:t>
                  </w:r>
                </w:p>
              </w:tc>
              <w:tc>
                <w:tcPr>
                  <w:tcW w:w="2026" w:type="dxa"/>
                  <w:vAlign w:val="center"/>
                </w:tcPr>
                <w:p>
                  <w:pPr>
                    <w:jc w:val="center"/>
                  </w:pPr>
                  <w:r>
                    <w:rPr>
                      <w:rFonts w:hint="eastAsia"/>
                      <w:szCs w:val="21"/>
                    </w:rPr>
                    <w:t>/</w:t>
                  </w:r>
                </w:p>
              </w:tc>
              <w:tc>
                <w:tcPr>
                  <w:tcW w:w="2008" w:type="dxa"/>
                  <w:vAlign w:val="center"/>
                </w:tcPr>
                <w:p>
                  <w:pPr>
                    <w:jc w:val="center"/>
                  </w:pP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29</w:t>
                  </w:r>
                </w:p>
              </w:tc>
              <w:tc>
                <w:tcPr>
                  <w:tcW w:w="2458" w:type="dxa"/>
                  <w:vAlign w:val="center"/>
                </w:tcPr>
                <w:p>
                  <w:pPr>
                    <w:jc w:val="center"/>
                    <w:rPr>
                      <w:szCs w:val="21"/>
                    </w:rPr>
                  </w:pPr>
                  <w:r>
                    <w:rPr>
                      <w:szCs w:val="21"/>
                    </w:rPr>
                    <w:t>SO</w:t>
                  </w:r>
                  <w:r>
                    <w:rPr>
                      <w:szCs w:val="21"/>
                      <w:vertAlign w:val="subscript"/>
                    </w:rPr>
                    <w:t>4</w:t>
                  </w:r>
                  <w:r>
                    <w:rPr>
                      <w:szCs w:val="21"/>
                      <w:vertAlign w:val="superscript"/>
                    </w:rPr>
                    <w:t>2-</w:t>
                  </w:r>
                </w:p>
              </w:tc>
              <w:tc>
                <w:tcPr>
                  <w:tcW w:w="2026" w:type="dxa"/>
                  <w:vAlign w:val="center"/>
                </w:tcPr>
                <w:p>
                  <w:pPr>
                    <w:jc w:val="center"/>
                  </w:pPr>
                  <w:r>
                    <w:rPr>
                      <w:rFonts w:hint="eastAsia"/>
                      <w:szCs w:val="21"/>
                    </w:rPr>
                    <w:t>/</w:t>
                  </w:r>
                </w:p>
              </w:tc>
              <w:tc>
                <w:tcPr>
                  <w:tcW w:w="2008" w:type="dxa"/>
                  <w:vAlign w:val="center"/>
                </w:tcPr>
                <w:p>
                  <w:pPr>
                    <w:jc w:val="center"/>
                  </w:pPr>
                  <w:r>
                    <w:rPr>
                      <w:rFonts w:hint="eastAsia"/>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1" w:type="dxa"/>
                  <w:vAlign w:val="center"/>
                </w:tcPr>
                <w:p>
                  <w:pPr>
                    <w:jc w:val="center"/>
                    <w:rPr>
                      <w:szCs w:val="21"/>
                    </w:rPr>
                  </w:pPr>
                  <w:r>
                    <w:rPr>
                      <w:szCs w:val="21"/>
                    </w:rPr>
                    <w:t>30</w:t>
                  </w:r>
                </w:p>
              </w:tc>
              <w:tc>
                <w:tcPr>
                  <w:tcW w:w="2458" w:type="dxa"/>
                  <w:vAlign w:val="center"/>
                </w:tcPr>
                <w:p>
                  <w:pPr>
                    <w:jc w:val="center"/>
                    <w:rPr>
                      <w:szCs w:val="21"/>
                    </w:rPr>
                  </w:pPr>
                  <w:r>
                    <w:rPr>
                      <w:szCs w:val="21"/>
                    </w:rPr>
                    <w:t>K</w:t>
                  </w:r>
                  <w:r>
                    <w:rPr>
                      <w:szCs w:val="21"/>
                      <w:vertAlign w:val="superscript"/>
                    </w:rPr>
                    <w:t>+</w:t>
                  </w:r>
                </w:p>
              </w:tc>
              <w:tc>
                <w:tcPr>
                  <w:tcW w:w="2026" w:type="dxa"/>
                  <w:vAlign w:val="center"/>
                </w:tcPr>
                <w:p>
                  <w:pPr>
                    <w:jc w:val="center"/>
                    <w:rPr>
                      <w:szCs w:val="21"/>
                    </w:rPr>
                  </w:pPr>
                  <w:r>
                    <w:rPr>
                      <w:rFonts w:hint="eastAsia"/>
                      <w:szCs w:val="21"/>
                    </w:rPr>
                    <w:t>/</w:t>
                  </w:r>
                </w:p>
              </w:tc>
              <w:tc>
                <w:tcPr>
                  <w:tcW w:w="2008" w:type="dxa"/>
                  <w:vAlign w:val="center"/>
                </w:tcPr>
                <w:p>
                  <w:pPr>
                    <w:jc w:val="center"/>
                  </w:pPr>
                  <w:r>
                    <w:rPr>
                      <w:rFonts w:hint="eastAsia"/>
                      <w:szCs w:val="21"/>
                    </w:rPr>
                    <w:t>/</w:t>
                  </w:r>
                </w:p>
              </w:tc>
            </w:tr>
          </w:tbl>
          <w:p>
            <w:pPr>
              <w:spacing w:line="480" w:lineRule="exact"/>
              <w:ind w:firstLine="480" w:firstLineChars="200"/>
              <w:rPr>
                <w:sz w:val="24"/>
              </w:rPr>
            </w:pPr>
            <w:r>
              <w:rPr>
                <w:rFonts w:hint="eastAsia"/>
                <w:sz w:val="24"/>
              </w:rPr>
              <w:t>由上述表格可以看出，本项目所有监测指标均满足《地下水质量标准》（GB/T14848-2017）中Ⅲ类标准要求</w:t>
            </w:r>
            <w:r>
              <w:rPr>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00" w:type="dxa"/>
            <w:vAlign w:val="center"/>
          </w:tcPr>
          <w:p>
            <w:pPr>
              <w:jc w:val="center"/>
              <w:rPr>
                <w:sz w:val="24"/>
              </w:rPr>
            </w:pPr>
            <w:r>
              <w:rPr>
                <w:sz w:val="24"/>
              </w:rPr>
              <w:t>环境</w:t>
            </w:r>
          </w:p>
          <w:p>
            <w:pPr>
              <w:jc w:val="center"/>
              <w:rPr>
                <w:sz w:val="24"/>
              </w:rPr>
            </w:pPr>
            <w:r>
              <w:rPr>
                <w:sz w:val="24"/>
              </w:rPr>
              <w:t>保护</w:t>
            </w:r>
          </w:p>
          <w:p>
            <w:pPr>
              <w:jc w:val="center"/>
              <w:rPr>
                <w:sz w:val="24"/>
              </w:rPr>
            </w:pPr>
            <w:r>
              <w:rPr>
                <w:sz w:val="24"/>
              </w:rPr>
              <w:t>目标</w:t>
            </w:r>
          </w:p>
        </w:tc>
        <w:tc>
          <w:tcPr>
            <w:tcW w:w="8190" w:type="dxa"/>
            <w:vAlign w:val="center"/>
          </w:tcPr>
          <w:p>
            <w:pPr>
              <w:pStyle w:val="52"/>
              <w:spacing w:line="500" w:lineRule="exact"/>
              <w:ind w:firstLine="480"/>
              <w:rPr>
                <w:rFonts w:cs="Times New Roman"/>
                <w:color w:val="auto"/>
                <w:sz w:val="24"/>
              </w:rPr>
            </w:pPr>
            <w:r>
              <w:rPr>
                <w:rFonts w:cs="Times New Roman"/>
                <w:color w:val="auto"/>
                <w:sz w:val="24"/>
              </w:rPr>
              <w:t>1、大气环境</w:t>
            </w:r>
          </w:p>
          <w:p>
            <w:pPr>
              <w:pStyle w:val="52"/>
              <w:spacing w:line="500" w:lineRule="exact"/>
              <w:ind w:firstLine="480"/>
              <w:rPr>
                <w:rFonts w:cs="Times New Roman"/>
                <w:color w:val="auto"/>
                <w:sz w:val="24"/>
              </w:rPr>
            </w:pPr>
            <w:r>
              <w:rPr>
                <w:rFonts w:cs="Times New Roman"/>
                <w:color w:val="auto"/>
                <w:sz w:val="24"/>
              </w:rPr>
              <w:t>本项目评价范围内无自然保护区、风景名胜区等保护目标，根据项目特点及周边环境状况，本项目厂界外500m范围内无大气环境保护目标。</w:t>
            </w:r>
          </w:p>
          <w:p>
            <w:pPr>
              <w:pStyle w:val="52"/>
              <w:spacing w:line="500" w:lineRule="exact"/>
              <w:ind w:firstLine="480"/>
              <w:rPr>
                <w:rFonts w:cs="Times New Roman"/>
                <w:color w:val="auto"/>
                <w:sz w:val="24"/>
              </w:rPr>
            </w:pPr>
            <w:r>
              <w:rPr>
                <w:rFonts w:cs="Times New Roman"/>
                <w:color w:val="auto"/>
                <w:sz w:val="24"/>
              </w:rPr>
              <w:t>2、声环境</w:t>
            </w:r>
          </w:p>
          <w:p>
            <w:pPr>
              <w:pStyle w:val="52"/>
              <w:spacing w:line="500" w:lineRule="exact"/>
              <w:ind w:firstLine="480"/>
              <w:rPr>
                <w:rFonts w:cs="Times New Roman"/>
                <w:color w:val="auto"/>
                <w:sz w:val="24"/>
              </w:rPr>
            </w:pPr>
            <w:r>
              <w:rPr>
                <w:rFonts w:cs="Times New Roman"/>
                <w:color w:val="auto"/>
                <w:sz w:val="24"/>
              </w:rPr>
              <w:t>本项目厂界外50米范围内无声环境保护目标。</w:t>
            </w:r>
          </w:p>
          <w:p>
            <w:pPr>
              <w:pStyle w:val="52"/>
              <w:spacing w:line="500" w:lineRule="exact"/>
              <w:ind w:firstLine="480"/>
              <w:rPr>
                <w:rFonts w:cs="Times New Roman"/>
                <w:color w:val="auto"/>
                <w:sz w:val="24"/>
              </w:rPr>
            </w:pPr>
            <w:r>
              <w:rPr>
                <w:rFonts w:cs="Times New Roman"/>
                <w:color w:val="auto"/>
                <w:sz w:val="24"/>
              </w:rPr>
              <w:t>3、地下水环境</w:t>
            </w:r>
          </w:p>
          <w:p>
            <w:pPr>
              <w:pStyle w:val="52"/>
              <w:spacing w:line="500" w:lineRule="exact"/>
              <w:ind w:firstLine="480"/>
              <w:rPr>
                <w:rFonts w:cs="Times New Roman"/>
                <w:color w:val="auto"/>
                <w:sz w:val="24"/>
              </w:rPr>
            </w:pPr>
            <w:r>
              <w:rPr>
                <w:rFonts w:cs="Times New Roman"/>
                <w:color w:val="auto"/>
                <w:sz w:val="24"/>
              </w:rPr>
              <w:t>本项目厂界外500米范围内无地下水集中式饮用水水源和热水、矿泉水、温泉等特殊地下水资源。</w:t>
            </w:r>
          </w:p>
          <w:p>
            <w:pPr>
              <w:pStyle w:val="52"/>
              <w:spacing w:line="500" w:lineRule="exact"/>
              <w:ind w:firstLine="480"/>
              <w:rPr>
                <w:rFonts w:cs="Times New Roman"/>
                <w:color w:val="auto"/>
                <w:sz w:val="24"/>
              </w:rPr>
            </w:pPr>
            <w:r>
              <w:rPr>
                <w:rFonts w:cs="Times New Roman"/>
                <w:color w:val="auto"/>
                <w:sz w:val="24"/>
              </w:rPr>
              <w:t>4、生态环境保护目标</w:t>
            </w:r>
          </w:p>
          <w:p>
            <w:pPr>
              <w:pStyle w:val="52"/>
              <w:adjustRightInd w:val="0"/>
              <w:snapToGrid w:val="0"/>
              <w:spacing w:line="500" w:lineRule="exact"/>
              <w:ind w:firstLine="480"/>
              <w:rPr>
                <w:rFonts w:cs="Times New Roman"/>
                <w:color w:val="auto"/>
                <w:sz w:val="24"/>
              </w:rPr>
            </w:pPr>
            <w:r>
              <w:rPr>
                <w:rFonts w:cs="Times New Roman"/>
                <w:color w:val="auto"/>
                <w:sz w:val="24"/>
              </w:rPr>
              <w:t>本项目占地范围内无特殊生态敏感区及重要生态敏感区等生态环境保护目标，项目所在地无国家级、省、市级自然保护区、风景名胜区、文物保护对象。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800" w:type="dxa"/>
            <w:tcMar>
              <w:left w:w="28" w:type="dxa"/>
              <w:right w:w="28" w:type="dxa"/>
            </w:tcMar>
            <w:vAlign w:val="center"/>
          </w:tcPr>
          <w:p>
            <w:pPr>
              <w:jc w:val="center"/>
              <w:rPr>
                <w:sz w:val="24"/>
              </w:rPr>
            </w:pPr>
            <w:r>
              <w:rPr>
                <w:sz w:val="24"/>
              </w:rPr>
              <w:t>污染</w:t>
            </w:r>
          </w:p>
          <w:p>
            <w:pPr>
              <w:jc w:val="center"/>
              <w:rPr>
                <w:sz w:val="24"/>
              </w:rPr>
            </w:pPr>
            <w:r>
              <w:rPr>
                <w:sz w:val="24"/>
              </w:rPr>
              <w:t>物排</w:t>
            </w:r>
          </w:p>
          <w:p>
            <w:pPr>
              <w:jc w:val="center"/>
              <w:rPr>
                <w:sz w:val="24"/>
              </w:rPr>
            </w:pPr>
            <w:r>
              <w:rPr>
                <w:sz w:val="24"/>
              </w:rPr>
              <w:t>放控</w:t>
            </w:r>
          </w:p>
          <w:p>
            <w:pPr>
              <w:jc w:val="center"/>
              <w:rPr>
                <w:sz w:val="24"/>
              </w:rPr>
            </w:pPr>
            <w:r>
              <w:rPr>
                <w:sz w:val="24"/>
              </w:rPr>
              <w:t>制标</w:t>
            </w:r>
          </w:p>
          <w:p>
            <w:pPr>
              <w:jc w:val="center"/>
              <w:rPr>
                <w:sz w:val="24"/>
              </w:rPr>
            </w:pPr>
            <w:r>
              <w:rPr>
                <w:sz w:val="24"/>
              </w:rPr>
              <w:t>准</w:t>
            </w:r>
          </w:p>
        </w:tc>
        <w:tc>
          <w:tcPr>
            <w:tcW w:w="8190" w:type="dxa"/>
            <w:vAlign w:val="center"/>
          </w:tcPr>
          <w:p>
            <w:pPr>
              <w:pStyle w:val="79"/>
              <w:ind w:firstLine="482"/>
              <w:rPr>
                <w:rFonts w:cs="Times New Roman"/>
                <w:b/>
                <w:bCs/>
                <w:color w:val="auto"/>
                <w:sz w:val="24"/>
              </w:rPr>
            </w:pPr>
            <w:r>
              <w:rPr>
                <w:rFonts w:cs="Times New Roman"/>
                <w:b/>
                <w:bCs/>
                <w:color w:val="auto"/>
                <w:sz w:val="24"/>
              </w:rPr>
              <w:t>1、</w:t>
            </w:r>
            <w:r>
              <w:rPr>
                <w:rFonts w:hint="eastAsia" w:cs="Times New Roman"/>
                <w:b/>
                <w:bCs/>
                <w:color w:val="auto"/>
                <w:sz w:val="24"/>
              </w:rPr>
              <w:t>废气</w:t>
            </w:r>
          </w:p>
          <w:p>
            <w:pPr>
              <w:pStyle w:val="79"/>
              <w:ind w:firstLine="480"/>
              <w:rPr>
                <w:rFonts w:cs="Times New Roman"/>
                <w:color w:val="auto"/>
                <w:sz w:val="24"/>
              </w:rPr>
            </w:pPr>
            <w:r>
              <w:rPr>
                <w:rFonts w:cs="Times New Roman"/>
                <w:color w:val="auto"/>
                <w:sz w:val="24"/>
              </w:rPr>
              <w:t>（1）</w:t>
            </w:r>
            <w:r>
              <w:rPr>
                <w:rFonts w:hint="eastAsia" w:cs="Times New Roman"/>
                <w:color w:val="auto"/>
                <w:sz w:val="24"/>
              </w:rPr>
              <w:t>施工期</w:t>
            </w:r>
          </w:p>
          <w:p>
            <w:pPr>
              <w:pStyle w:val="79"/>
              <w:ind w:firstLine="480"/>
              <w:rPr>
                <w:color w:val="auto"/>
                <w:sz w:val="24"/>
              </w:rPr>
            </w:pPr>
            <w:r>
              <w:rPr>
                <w:rFonts w:hint="eastAsia"/>
                <w:color w:val="auto"/>
                <w:sz w:val="24"/>
              </w:rPr>
              <w:t>施工期间扬尘执行《大气污染物综合排放标准》（</w:t>
            </w:r>
            <w:r>
              <w:rPr>
                <w:color w:val="auto"/>
                <w:sz w:val="24"/>
              </w:rPr>
              <w:t>GB16297-1996</w:t>
            </w:r>
            <w:r>
              <w:rPr>
                <w:rFonts w:hint="eastAsia"/>
                <w:color w:val="auto"/>
                <w:sz w:val="24"/>
              </w:rPr>
              <w:t xml:space="preserve">）表 </w:t>
            </w:r>
          </w:p>
          <w:p>
            <w:pPr>
              <w:pStyle w:val="46"/>
              <w:jc w:val="both"/>
              <w:rPr>
                <w:rFonts w:eastAsia="宋体" w:cs="Times New Roman"/>
                <w:b w:val="0"/>
                <w:szCs w:val="24"/>
              </w:rPr>
            </w:pPr>
            <w:r>
              <w:rPr>
                <w:rFonts w:eastAsia="宋体" w:cs="Times New Roman"/>
                <w:b w:val="0"/>
                <w:szCs w:val="24"/>
              </w:rPr>
              <w:t xml:space="preserve">2 </w:t>
            </w:r>
            <w:r>
              <w:rPr>
                <w:rFonts w:hint="eastAsia" w:eastAsia="宋体" w:cs="Times New Roman"/>
                <w:b w:val="0"/>
                <w:szCs w:val="24"/>
              </w:rPr>
              <w:t>中颗粒物无组织排放监控浓度限值。</w:t>
            </w:r>
          </w:p>
          <w:p>
            <w:pPr>
              <w:pStyle w:val="46"/>
              <w:rPr>
                <w:rFonts w:eastAsia="宋体" w:cs="Times New Roman"/>
                <w:szCs w:val="24"/>
              </w:rPr>
            </w:pPr>
            <w:r>
              <w:rPr>
                <w:rFonts w:eastAsia="宋体" w:cs="Times New Roman"/>
                <w:szCs w:val="24"/>
              </w:rPr>
              <w:t>表3-</w:t>
            </w:r>
            <w:r>
              <w:rPr>
                <w:rFonts w:hint="eastAsia" w:eastAsia="宋体" w:cs="Times New Roman"/>
                <w:szCs w:val="24"/>
              </w:rPr>
              <w:t>8</w:t>
            </w:r>
            <w:r>
              <w:rPr>
                <w:rFonts w:eastAsia="宋体" w:cs="Times New Roman"/>
                <w:szCs w:val="24"/>
              </w:rPr>
              <w:t xml:space="preserve"> </w:t>
            </w:r>
            <w:r>
              <w:rPr>
                <w:rFonts w:hint="eastAsia" w:eastAsia="宋体" w:cs="Times New Roman"/>
                <w:szCs w:val="24"/>
              </w:rPr>
              <w:t>施工期</w:t>
            </w:r>
            <w:r>
              <w:rPr>
                <w:rFonts w:eastAsia="宋体" w:cs="Times New Roman"/>
                <w:szCs w:val="24"/>
              </w:rPr>
              <w:t>大气污染物排放标准</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34"/>
              <w:gridCol w:w="48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76" w:type="dxa"/>
                  <w:vAlign w:val="center"/>
                </w:tcPr>
                <w:p>
                  <w:pPr>
                    <w:adjustRightInd w:val="0"/>
                    <w:snapToGrid w:val="0"/>
                    <w:jc w:val="center"/>
                    <w:rPr>
                      <w:kern w:val="0"/>
                      <w:szCs w:val="21"/>
                    </w:rPr>
                  </w:pPr>
                  <w:r>
                    <w:rPr>
                      <w:rFonts w:hint="eastAsia"/>
                      <w:kern w:val="0"/>
                      <w:szCs w:val="21"/>
                    </w:rPr>
                    <w:t>项目</w:t>
                  </w:r>
                </w:p>
              </w:tc>
              <w:tc>
                <w:tcPr>
                  <w:tcW w:w="4751" w:type="dxa"/>
                  <w:vAlign w:val="center"/>
                </w:tcPr>
                <w:p>
                  <w:pPr>
                    <w:adjustRightInd w:val="0"/>
                    <w:snapToGrid w:val="0"/>
                    <w:jc w:val="center"/>
                    <w:rPr>
                      <w:kern w:val="0"/>
                      <w:szCs w:val="21"/>
                    </w:rPr>
                  </w:pPr>
                  <w:r>
                    <w:rPr>
                      <w:kern w:val="0"/>
                      <w:szCs w:val="21"/>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3076" w:type="dxa"/>
                  <w:vAlign w:val="center"/>
                </w:tcPr>
                <w:p>
                  <w:pPr>
                    <w:adjustRightInd w:val="0"/>
                    <w:snapToGrid w:val="0"/>
                    <w:jc w:val="center"/>
                    <w:rPr>
                      <w:kern w:val="0"/>
                      <w:szCs w:val="21"/>
                    </w:rPr>
                  </w:pPr>
                  <w:r>
                    <w:rPr>
                      <w:rFonts w:hint="eastAsia"/>
                      <w:kern w:val="0"/>
                      <w:szCs w:val="21"/>
                    </w:rPr>
                    <w:t>颗粒物</w:t>
                  </w:r>
                </w:p>
              </w:tc>
              <w:tc>
                <w:tcPr>
                  <w:tcW w:w="4751" w:type="dxa"/>
                  <w:vAlign w:val="center"/>
                </w:tcPr>
                <w:p>
                  <w:pPr>
                    <w:adjustRightInd w:val="0"/>
                    <w:snapToGrid w:val="0"/>
                    <w:jc w:val="center"/>
                    <w:rPr>
                      <w:kern w:val="0"/>
                      <w:szCs w:val="21"/>
                    </w:rPr>
                  </w:pPr>
                  <w:r>
                    <w:rPr>
                      <w:rFonts w:hint="eastAsia"/>
                      <w:kern w:val="0"/>
                      <w:szCs w:val="21"/>
                    </w:rPr>
                    <w:t>1.0mg/m</w:t>
                  </w:r>
                  <w:r>
                    <w:rPr>
                      <w:rFonts w:hint="eastAsia"/>
                      <w:kern w:val="0"/>
                      <w:szCs w:val="21"/>
                      <w:vertAlign w:val="superscript"/>
                    </w:rPr>
                    <w:t>3</w:t>
                  </w:r>
                </w:p>
              </w:tc>
            </w:tr>
          </w:tbl>
          <w:p>
            <w:pPr>
              <w:pStyle w:val="79"/>
              <w:ind w:firstLine="480"/>
              <w:rPr>
                <w:rFonts w:cs="Times New Roman"/>
                <w:color w:val="auto"/>
                <w:sz w:val="24"/>
              </w:rPr>
            </w:pPr>
            <w:r>
              <w:rPr>
                <w:rFonts w:hint="eastAsia" w:cs="Times New Roman"/>
                <w:color w:val="auto"/>
                <w:sz w:val="24"/>
              </w:rPr>
              <w:t>（二）营运期</w:t>
            </w:r>
          </w:p>
          <w:p>
            <w:pPr>
              <w:pStyle w:val="79"/>
              <w:ind w:firstLine="480"/>
              <w:rPr>
                <w:color w:val="auto"/>
                <w:sz w:val="24"/>
              </w:rPr>
            </w:pPr>
            <w:r>
              <w:rPr>
                <w:rFonts w:hint="eastAsia"/>
                <w:color w:val="auto"/>
                <w:sz w:val="24"/>
              </w:rPr>
              <w:t>无组织废气执行《煤炭工业污染物排放标准》（GB20426-2006）表5</w:t>
            </w:r>
            <w:r>
              <w:rPr>
                <w:rFonts w:hint="eastAsia" w:cs="Times New Roman"/>
                <w:color w:val="auto"/>
                <w:sz w:val="24"/>
              </w:rPr>
              <w:t>煤炭工业无组织排放限值。</w:t>
            </w:r>
          </w:p>
          <w:p>
            <w:pPr>
              <w:pStyle w:val="46"/>
              <w:rPr>
                <w:rFonts w:eastAsia="宋体" w:cs="Times New Roman"/>
                <w:szCs w:val="24"/>
              </w:rPr>
            </w:pPr>
            <w:r>
              <w:rPr>
                <w:rFonts w:eastAsia="宋体" w:cs="Times New Roman"/>
                <w:szCs w:val="24"/>
              </w:rPr>
              <w:t>表3-</w:t>
            </w:r>
            <w:r>
              <w:rPr>
                <w:rFonts w:hint="eastAsia" w:eastAsia="宋体" w:cs="Times New Roman"/>
                <w:szCs w:val="24"/>
              </w:rPr>
              <w:t>9 运营期大气污染物排放标准</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628"/>
              <w:gridCol w:w="909"/>
              <w:gridCol w:w="1877"/>
              <w:gridCol w:w="2569"/>
              <w:gridCol w:w="19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394" w:type="pct"/>
                  <w:vMerge w:val="restart"/>
                  <w:tcBorders>
                    <w:tl2br w:val="nil"/>
                    <w:tr2bl w:val="nil"/>
                  </w:tcBorders>
                  <w:vAlign w:val="center"/>
                </w:tcPr>
                <w:p>
                  <w:pPr>
                    <w:adjustRightInd w:val="0"/>
                    <w:jc w:val="center"/>
                    <w:textAlignment w:val="baseline"/>
                    <w:rPr>
                      <w:kern w:val="0"/>
                      <w:szCs w:val="21"/>
                    </w:rPr>
                  </w:pPr>
                  <w:r>
                    <w:rPr>
                      <w:rFonts w:hint="eastAsia"/>
                      <w:kern w:val="0"/>
                      <w:szCs w:val="21"/>
                    </w:rPr>
                    <w:t>类别</w:t>
                  </w:r>
                </w:p>
              </w:tc>
              <w:tc>
                <w:tcPr>
                  <w:tcW w:w="570" w:type="pct"/>
                  <w:vMerge w:val="restart"/>
                  <w:tcBorders>
                    <w:tl2br w:val="nil"/>
                    <w:tr2bl w:val="nil"/>
                  </w:tcBorders>
                  <w:vAlign w:val="center"/>
                </w:tcPr>
                <w:p>
                  <w:pPr>
                    <w:adjustRightInd w:val="0"/>
                    <w:jc w:val="center"/>
                    <w:textAlignment w:val="baseline"/>
                    <w:rPr>
                      <w:kern w:val="0"/>
                      <w:szCs w:val="21"/>
                    </w:rPr>
                  </w:pPr>
                  <w:r>
                    <w:rPr>
                      <w:rFonts w:hint="eastAsia"/>
                      <w:kern w:val="0"/>
                      <w:szCs w:val="21"/>
                    </w:rPr>
                    <w:t>污染物</w:t>
                  </w:r>
                </w:p>
              </w:tc>
              <w:tc>
                <w:tcPr>
                  <w:tcW w:w="1177" w:type="pct"/>
                  <w:vMerge w:val="restart"/>
                  <w:tcBorders>
                    <w:tl2br w:val="nil"/>
                    <w:tr2bl w:val="nil"/>
                  </w:tcBorders>
                  <w:vAlign w:val="center"/>
                </w:tcPr>
                <w:p>
                  <w:pPr>
                    <w:adjustRightInd w:val="0"/>
                    <w:jc w:val="center"/>
                    <w:textAlignment w:val="baseline"/>
                    <w:rPr>
                      <w:kern w:val="0"/>
                      <w:szCs w:val="21"/>
                    </w:rPr>
                  </w:pPr>
                  <w:r>
                    <w:rPr>
                      <w:rFonts w:hint="eastAsia"/>
                      <w:kern w:val="0"/>
                      <w:szCs w:val="21"/>
                    </w:rPr>
                    <w:t>监控点</w:t>
                  </w:r>
                </w:p>
              </w:tc>
              <w:tc>
                <w:tcPr>
                  <w:tcW w:w="2859" w:type="pct"/>
                  <w:gridSpan w:val="2"/>
                  <w:tcBorders>
                    <w:tl2br w:val="nil"/>
                    <w:tr2bl w:val="nil"/>
                  </w:tcBorders>
                  <w:vAlign w:val="center"/>
                </w:tcPr>
                <w:p>
                  <w:pPr>
                    <w:adjustRightInd w:val="0"/>
                    <w:jc w:val="center"/>
                    <w:textAlignment w:val="baseline"/>
                    <w:rPr>
                      <w:kern w:val="0"/>
                      <w:szCs w:val="21"/>
                    </w:rPr>
                  </w:pPr>
                  <w:r>
                    <w:rPr>
                      <w:rFonts w:hint="eastAsia"/>
                      <w:kern w:val="0"/>
                      <w:szCs w:val="21"/>
                    </w:rPr>
                    <w:t>作业场所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1" w:hRule="atLeast"/>
                <w:tblHeader/>
              </w:trPr>
              <w:tc>
                <w:tcPr>
                  <w:tcW w:w="394" w:type="pct"/>
                  <w:vMerge w:val="continue"/>
                  <w:tcBorders>
                    <w:tl2br w:val="nil"/>
                    <w:tr2bl w:val="nil"/>
                  </w:tcBorders>
                  <w:vAlign w:val="center"/>
                </w:tcPr>
                <w:p>
                  <w:pPr>
                    <w:adjustRightInd w:val="0"/>
                    <w:jc w:val="center"/>
                    <w:textAlignment w:val="baseline"/>
                    <w:rPr>
                      <w:kern w:val="0"/>
                      <w:szCs w:val="21"/>
                    </w:rPr>
                  </w:pPr>
                </w:p>
              </w:tc>
              <w:tc>
                <w:tcPr>
                  <w:tcW w:w="570" w:type="pct"/>
                  <w:vMerge w:val="continue"/>
                  <w:tcBorders>
                    <w:tl2br w:val="nil"/>
                    <w:tr2bl w:val="nil"/>
                  </w:tcBorders>
                  <w:vAlign w:val="center"/>
                </w:tcPr>
                <w:p>
                  <w:pPr>
                    <w:adjustRightInd w:val="0"/>
                    <w:jc w:val="center"/>
                    <w:textAlignment w:val="baseline"/>
                    <w:rPr>
                      <w:kern w:val="0"/>
                      <w:szCs w:val="21"/>
                    </w:rPr>
                  </w:pPr>
                </w:p>
              </w:tc>
              <w:tc>
                <w:tcPr>
                  <w:tcW w:w="1177" w:type="pct"/>
                  <w:vMerge w:val="continue"/>
                  <w:tcBorders>
                    <w:tl2br w:val="nil"/>
                    <w:tr2bl w:val="nil"/>
                  </w:tcBorders>
                  <w:vAlign w:val="center"/>
                </w:tcPr>
                <w:p>
                  <w:pPr>
                    <w:adjustRightInd w:val="0"/>
                    <w:jc w:val="center"/>
                    <w:textAlignment w:val="baseline"/>
                    <w:rPr>
                      <w:kern w:val="0"/>
                      <w:szCs w:val="21"/>
                    </w:rPr>
                  </w:pPr>
                </w:p>
              </w:tc>
              <w:tc>
                <w:tcPr>
                  <w:tcW w:w="1611" w:type="pct"/>
                  <w:tcBorders>
                    <w:bottom w:val="single" w:color="auto" w:sz="4" w:space="0"/>
                    <w:tl2br w:val="nil"/>
                    <w:tr2bl w:val="nil"/>
                  </w:tcBorders>
                  <w:vAlign w:val="center"/>
                </w:tcPr>
                <w:p>
                  <w:pPr>
                    <w:adjustRightInd w:val="0"/>
                    <w:jc w:val="center"/>
                    <w:textAlignment w:val="baseline"/>
                    <w:rPr>
                      <w:kern w:val="0"/>
                      <w:szCs w:val="21"/>
                    </w:rPr>
                  </w:pPr>
                  <w:r>
                    <w:rPr>
                      <w:rFonts w:hint="eastAsia"/>
                      <w:kern w:val="0"/>
                      <w:szCs w:val="21"/>
                    </w:rPr>
                    <w:t>煤炭工业所属装卸场所</w:t>
                  </w:r>
                </w:p>
              </w:tc>
              <w:tc>
                <w:tcPr>
                  <w:tcW w:w="1248" w:type="pct"/>
                  <w:tcBorders>
                    <w:bottom w:val="single" w:color="auto" w:sz="4" w:space="0"/>
                    <w:tl2br w:val="nil"/>
                    <w:tr2bl w:val="nil"/>
                  </w:tcBorders>
                  <w:vAlign w:val="center"/>
                </w:tcPr>
                <w:p>
                  <w:pPr>
                    <w:adjustRightInd w:val="0"/>
                    <w:jc w:val="center"/>
                    <w:textAlignment w:val="baseline"/>
                    <w:rPr>
                      <w:kern w:val="0"/>
                      <w:szCs w:val="21"/>
                    </w:rPr>
                  </w:pPr>
                  <w:r>
                    <w:rPr>
                      <w:rFonts w:hint="eastAsia"/>
                      <w:kern w:val="0"/>
                      <w:szCs w:val="21"/>
                    </w:rPr>
                    <w:t>煤炭贮存场所、煤矸石堆置场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16" w:hRule="atLeast"/>
                <w:tblHeader/>
              </w:trPr>
              <w:tc>
                <w:tcPr>
                  <w:tcW w:w="394" w:type="pct"/>
                  <w:vMerge w:val="continue"/>
                  <w:tcBorders>
                    <w:bottom w:val="single" w:color="auto" w:sz="4" w:space="0"/>
                    <w:tl2br w:val="nil"/>
                    <w:tr2bl w:val="nil"/>
                  </w:tcBorders>
                  <w:vAlign w:val="center"/>
                </w:tcPr>
                <w:p>
                  <w:pPr>
                    <w:adjustRightInd w:val="0"/>
                    <w:jc w:val="center"/>
                    <w:textAlignment w:val="baseline"/>
                    <w:rPr>
                      <w:kern w:val="0"/>
                      <w:szCs w:val="21"/>
                    </w:rPr>
                  </w:pPr>
                </w:p>
              </w:tc>
              <w:tc>
                <w:tcPr>
                  <w:tcW w:w="570" w:type="pct"/>
                  <w:vMerge w:val="continue"/>
                  <w:tcBorders>
                    <w:bottom w:val="single" w:color="auto" w:sz="4" w:space="0"/>
                    <w:tl2br w:val="nil"/>
                    <w:tr2bl w:val="nil"/>
                  </w:tcBorders>
                  <w:vAlign w:val="center"/>
                </w:tcPr>
                <w:p>
                  <w:pPr>
                    <w:adjustRightInd w:val="0"/>
                    <w:jc w:val="center"/>
                    <w:textAlignment w:val="baseline"/>
                    <w:rPr>
                      <w:kern w:val="0"/>
                      <w:szCs w:val="21"/>
                    </w:rPr>
                  </w:pPr>
                </w:p>
              </w:tc>
              <w:tc>
                <w:tcPr>
                  <w:tcW w:w="1177" w:type="pct"/>
                  <w:vMerge w:val="continue"/>
                  <w:tcBorders>
                    <w:bottom w:val="single" w:color="auto" w:sz="4" w:space="0"/>
                    <w:tl2br w:val="nil"/>
                    <w:tr2bl w:val="nil"/>
                  </w:tcBorders>
                  <w:vAlign w:val="center"/>
                </w:tcPr>
                <w:p>
                  <w:pPr>
                    <w:adjustRightInd w:val="0"/>
                    <w:jc w:val="center"/>
                    <w:textAlignment w:val="baseline"/>
                    <w:rPr>
                      <w:kern w:val="0"/>
                      <w:szCs w:val="21"/>
                    </w:rPr>
                  </w:pPr>
                </w:p>
              </w:tc>
              <w:tc>
                <w:tcPr>
                  <w:tcW w:w="2859" w:type="pct"/>
                  <w:gridSpan w:val="2"/>
                  <w:tcBorders>
                    <w:top w:val="single" w:color="auto" w:sz="4" w:space="0"/>
                    <w:bottom w:val="single" w:color="auto" w:sz="4" w:space="0"/>
                    <w:tl2br w:val="nil"/>
                    <w:tr2bl w:val="nil"/>
                  </w:tcBorders>
                  <w:vAlign w:val="center"/>
                </w:tcPr>
                <w:p>
                  <w:pPr>
                    <w:adjustRightInd w:val="0"/>
                    <w:jc w:val="center"/>
                    <w:textAlignment w:val="baseline"/>
                    <w:rPr>
                      <w:kern w:val="0"/>
                      <w:szCs w:val="21"/>
                    </w:rPr>
                  </w:pPr>
                  <w:r>
                    <w:rPr>
                      <w:rFonts w:hint="eastAsia"/>
                    </w:rPr>
                    <w:t>无组织排放限值（</w:t>
                  </w:r>
                  <w:r>
                    <w:t>mg/m</w:t>
                  </w:r>
                  <w:r>
                    <w:rPr>
                      <w:vertAlign w:val="superscript"/>
                    </w:rPr>
                    <w:t>3</w:t>
                  </w:r>
                  <w:r>
                    <w:rPr>
                      <w:rFonts w:hint="eastAsia"/>
                    </w:rPr>
                    <w:t>）（监控点与参考点浓度差值）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tblHeader/>
              </w:trPr>
              <w:tc>
                <w:tcPr>
                  <w:tcW w:w="394" w:type="pct"/>
                  <w:vMerge w:val="restart"/>
                  <w:tcBorders>
                    <w:top w:val="single" w:color="auto" w:sz="4" w:space="0"/>
                    <w:tl2br w:val="nil"/>
                    <w:tr2bl w:val="nil"/>
                  </w:tcBorders>
                  <w:vAlign w:val="center"/>
                </w:tcPr>
                <w:p>
                  <w:pPr>
                    <w:adjustRightInd w:val="0"/>
                    <w:jc w:val="center"/>
                    <w:textAlignment w:val="baseline"/>
                    <w:rPr>
                      <w:kern w:val="0"/>
                      <w:szCs w:val="21"/>
                    </w:rPr>
                  </w:pPr>
                  <w:r>
                    <w:rPr>
                      <w:rFonts w:hint="eastAsia"/>
                      <w:kern w:val="0"/>
                      <w:szCs w:val="21"/>
                    </w:rPr>
                    <w:t>无组织废气</w:t>
                  </w:r>
                </w:p>
              </w:tc>
              <w:tc>
                <w:tcPr>
                  <w:tcW w:w="570" w:type="pct"/>
                  <w:tcBorders>
                    <w:top w:val="single" w:color="auto" w:sz="4" w:space="0"/>
                    <w:bottom w:val="single" w:color="auto" w:sz="4" w:space="0"/>
                    <w:tl2br w:val="nil"/>
                    <w:tr2bl w:val="nil"/>
                  </w:tcBorders>
                  <w:vAlign w:val="center"/>
                </w:tcPr>
                <w:p>
                  <w:pPr>
                    <w:adjustRightInd w:val="0"/>
                    <w:jc w:val="center"/>
                    <w:textAlignment w:val="baseline"/>
                    <w:rPr>
                      <w:kern w:val="0"/>
                      <w:szCs w:val="21"/>
                    </w:rPr>
                  </w:pPr>
                  <w:r>
                    <w:rPr>
                      <w:rFonts w:hint="eastAsia"/>
                      <w:kern w:val="0"/>
                      <w:szCs w:val="21"/>
                    </w:rPr>
                    <w:t>颗粒物</w:t>
                  </w:r>
                </w:p>
              </w:tc>
              <w:tc>
                <w:tcPr>
                  <w:tcW w:w="1177" w:type="pct"/>
                  <w:vMerge w:val="restart"/>
                  <w:tcBorders>
                    <w:top w:val="single" w:color="auto" w:sz="4" w:space="0"/>
                    <w:tl2br w:val="nil"/>
                    <w:tr2bl w:val="nil"/>
                  </w:tcBorders>
                  <w:vAlign w:val="center"/>
                </w:tcPr>
                <w:p>
                  <w:pPr>
                    <w:adjustRightInd w:val="0"/>
                    <w:jc w:val="center"/>
                    <w:textAlignment w:val="baseline"/>
                    <w:rPr>
                      <w:kern w:val="0"/>
                      <w:szCs w:val="21"/>
                    </w:rPr>
                  </w:pPr>
                  <w:r>
                    <w:rPr>
                      <w:rFonts w:hint="eastAsia"/>
                      <w:kern w:val="0"/>
                      <w:szCs w:val="21"/>
                    </w:rPr>
                    <w:t>周界外浓度最高点</w:t>
                  </w:r>
                </w:p>
              </w:tc>
              <w:tc>
                <w:tcPr>
                  <w:tcW w:w="1611" w:type="pct"/>
                  <w:tcBorders>
                    <w:top w:val="single" w:color="auto" w:sz="4" w:space="0"/>
                    <w:bottom w:val="single" w:color="auto" w:sz="4" w:space="0"/>
                    <w:tl2br w:val="nil"/>
                    <w:tr2bl w:val="nil"/>
                  </w:tcBorders>
                  <w:vAlign w:val="center"/>
                </w:tcPr>
                <w:p>
                  <w:pPr>
                    <w:adjustRightInd w:val="0"/>
                    <w:jc w:val="center"/>
                    <w:textAlignment w:val="baseline"/>
                    <w:rPr>
                      <w:kern w:val="0"/>
                      <w:szCs w:val="21"/>
                    </w:rPr>
                  </w:pPr>
                  <w:r>
                    <w:rPr>
                      <w:rFonts w:hint="eastAsia"/>
                    </w:rPr>
                    <w:t>1.0</w:t>
                  </w:r>
                </w:p>
              </w:tc>
              <w:tc>
                <w:tcPr>
                  <w:tcW w:w="1248" w:type="pct"/>
                  <w:tcBorders>
                    <w:top w:val="single" w:color="auto" w:sz="4" w:space="0"/>
                    <w:bottom w:val="single" w:color="auto" w:sz="4" w:space="0"/>
                    <w:tl2br w:val="nil"/>
                    <w:tr2bl w:val="nil"/>
                  </w:tcBorders>
                  <w:vAlign w:val="center"/>
                </w:tcPr>
                <w:p>
                  <w:pPr>
                    <w:adjustRightInd w:val="0"/>
                    <w:jc w:val="center"/>
                    <w:textAlignment w:val="baseline"/>
                    <w:rPr>
                      <w:kern w:val="0"/>
                      <w:szCs w:val="21"/>
                    </w:rPr>
                  </w:pPr>
                  <w:r>
                    <w:rPr>
                      <w:rFonts w:hint="eastAsia"/>
                      <w:kern w:val="0"/>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6" w:hRule="atLeast"/>
                <w:tblHeader/>
              </w:trPr>
              <w:tc>
                <w:tcPr>
                  <w:tcW w:w="394" w:type="pct"/>
                  <w:vMerge w:val="continue"/>
                  <w:tcBorders>
                    <w:bottom w:val="single" w:color="auto" w:sz="12" w:space="0"/>
                    <w:tl2br w:val="nil"/>
                    <w:tr2bl w:val="nil"/>
                  </w:tcBorders>
                  <w:vAlign w:val="center"/>
                </w:tcPr>
                <w:p>
                  <w:pPr>
                    <w:adjustRightInd w:val="0"/>
                    <w:jc w:val="center"/>
                    <w:textAlignment w:val="baseline"/>
                    <w:rPr>
                      <w:kern w:val="0"/>
                      <w:szCs w:val="21"/>
                    </w:rPr>
                  </w:pPr>
                </w:p>
              </w:tc>
              <w:tc>
                <w:tcPr>
                  <w:tcW w:w="570" w:type="pct"/>
                  <w:tcBorders>
                    <w:top w:val="single" w:color="auto" w:sz="4" w:space="0"/>
                    <w:bottom w:val="single" w:color="auto" w:sz="12" w:space="0"/>
                    <w:tl2br w:val="nil"/>
                    <w:tr2bl w:val="nil"/>
                  </w:tcBorders>
                  <w:vAlign w:val="center"/>
                </w:tcPr>
                <w:p>
                  <w:pPr>
                    <w:adjustRightInd w:val="0"/>
                    <w:jc w:val="center"/>
                    <w:textAlignment w:val="baseline"/>
                    <w:rPr>
                      <w:kern w:val="0"/>
                      <w:szCs w:val="21"/>
                    </w:rPr>
                  </w:pPr>
                  <w:r>
                    <w:rPr>
                      <w:rFonts w:hint="eastAsia"/>
                      <w:kern w:val="0"/>
                      <w:szCs w:val="21"/>
                    </w:rPr>
                    <w:t>二氧化硫</w:t>
                  </w:r>
                </w:p>
              </w:tc>
              <w:tc>
                <w:tcPr>
                  <w:tcW w:w="1177" w:type="pct"/>
                  <w:vMerge w:val="continue"/>
                  <w:tcBorders>
                    <w:bottom w:val="single" w:color="auto" w:sz="12" w:space="0"/>
                    <w:tl2br w:val="nil"/>
                    <w:tr2bl w:val="nil"/>
                  </w:tcBorders>
                  <w:vAlign w:val="center"/>
                </w:tcPr>
                <w:p>
                  <w:pPr>
                    <w:adjustRightInd w:val="0"/>
                    <w:jc w:val="center"/>
                    <w:textAlignment w:val="baseline"/>
                    <w:rPr>
                      <w:kern w:val="0"/>
                      <w:szCs w:val="21"/>
                    </w:rPr>
                  </w:pPr>
                </w:p>
              </w:tc>
              <w:tc>
                <w:tcPr>
                  <w:tcW w:w="1611" w:type="pct"/>
                  <w:tcBorders>
                    <w:top w:val="single" w:color="auto" w:sz="4" w:space="0"/>
                    <w:bottom w:val="single" w:color="auto" w:sz="12" w:space="0"/>
                    <w:tl2br w:val="nil"/>
                    <w:tr2bl w:val="nil"/>
                  </w:tcBorders>
                  <w:vAlign w:val="center"/>
                </w:tcPr>
                <w:p>
                  <w:pPr>
                    <w:adjustRightInd w:val="0"/>
                    <w:jc w:val="center"/>
                    <w:textAlignment w:val="baseline"/>
                  </w:pPr>
                  <w:r>
                    <w:rPr>
                      <w:rFonts w:hint="eastAsia"/>
                    </w:rPr>
                    <w:t>/</w:t>
                  </w:r>
                </w:p>
              </w:tc>
              <w:tc>
                <w:tcPr>
                  <w:tcW w:w="1248" w:type="pct"/>
                  <w:tcBorders>
                    <w:top w:val="single" w:color="auto" w:sz="4" w:space="0"/>
                    <w:bottom w:val="single" w:color="auto" w:sz="12" w:space="0"/>
                    <w:tl2br w:val="nil"/>
                    <w:tr2bl w:val="nil"/>
                  </w:tcBorders>
                  <w:vAlign w:val="center"/>
                </w:tcPr>
                <w:p>
                  <w:pPr>
                    <w:adjustRightInd w:val="0"/>
                    <w:jc w:val="center"/>
                    <w:textAlignment w:val="baseline"/>
                    <w:rPr>
                      <w:kern w:val="0"/>
                      <w:szCs w:val="21"/>
                    </w:rPr>
                  </w:pPr>
                  <w:r>
                    <w:rPr>
                      <w:rFonts w:hint="eastAsia"/>
                      <w:kern w:val="0"/>
                      <w:szCs w:val="21"/>
                    </w:rPr>
                    <w:t>0.4</w:t>
                  </w:r>
                </w:p>
              </w:tc>
            </w:tr>
          </w:tbl>
          <w:p>
            <w:pPr>
              <w:pStyle w:val="52"/>
              <w:spacing w:line="500" w:lineRule="exact"/>
              <w:ind w:firstLine="482"/>
              <w:rPr>
                <w:rFonts w:cs="Times New Roman"/>
                <w:b/>
                <w:bCs/>
                <w:color w:val="auto"/>
                <w:sz w:val="24"/>
              </w:rPr>
            </w:pPr>
            <w:r>
              <w:rPr>
                <w:rFonts w:hint="eastAsia" w:cs="Times New Roman"/>
                <w:b/>
                <w:bCs/>
                <w:color w:val="auto"/>
                <w:sz w:val="24"/>
              </w:rPr>
              <w:t>2</w:t>
            </w:r>
            <w:r>
              <w:rPr>
                <w:rFonts w:cs="Times New Roman"/>
                <w:b/>
                <w:bCs/>
                <w:color w:val="auto"/>
                <w:sz w:val="24"/>
              </w:rPr>
              <w:t>、噪声</w:t>
            </w:r>
          </w:p>
          <w:p>
            <w:pPr>
              <w:pStyle w:val="52"/>
              <w:spacing w:line="500" w:lineRule="exact"/>
              <w:ind w:firstLine="480"/>
              <w:rPr>
                <w:rFonts w:cs="Times New Roman"/>
                <w:color w:val="auto"/>
                <w:sz w:val="24"/>
              </w:rPr>
            </w:pPr>
            <w:r>
              <w:rPr>
                <w:rFonts w:hint="eastAsia" w:cs="Times New Roman"/>
                <w:color w:val="auto"/>
                <w:sz w:val="24"/>
              </w:rPr>
              <w:t>（</w:t>
            </w:r>
            <w:r>
              <w:rPr>
                <w:rFonts w:cs="Times New Roman"/>
                <w:color w:val="auto"/>
                <w:sz w:val="24"/>
              </w:rPr>
              <w:t>1</w:t>
            </w:r>
            <w:r>
              <w:rPr>
                <w:rFonts w:hint="eastAsia" w:cs="Times New Roman"/>
                <w:color w:val="auto"/>
                <w:sz w:val="24"/>
              </w:rPr>
              <w:t>）施工期</w:t>
            </w:r>
          </w:p>
          <w:p>
            <w:pPr>
              <w:pStyle w:val="52"/>
              <w:spacing w:line="500" w:lineRule="exact"/>
              <w:ind w:firstLine="480"/>
              <w:rPr>
                <w:rFonts w:cs="Times New Roman"/>
                <w:color w:val="auto"/>
                <w:sz w:val="24"/>
              </w:rPr>
            </w:pPr>
            <w:r>
              <w:rPr>
                <w:rFonts w:hint="eastAsia"/>
                <w:color w:val="auto"/>
                <w:sz w:val="24"/>
              </w:rPr>
              <w:t>项目施工期噪声排放执行《建筑施工场界环境噪声排放标准》</w:t>
            </w:r>
            <w:r>
              <w:rPr>
                <w:rFonts w:hint="eastAsia" w:cs="Times New Roman"/>
                <w:color w:val="auto"/>
                <w:sz w:val="24"/>
              </w:rPr>
              <w:t>（</w:t>
            </w:r>
            <w:r>
              <w:rPr>
                <w:rFonts w:cs="Times New Roman"/>
                <w:color w:val="auto"/>
                <w:sz w:val="24"/>
              </w:rPr>
              <w:t>GB12523-2011</w:t>
            </w:r>
            <w:r>
              <w:rPr>
                <w:rFonts w:hint="eastAsia" w:cs="Times New Roman"/>
                <w:color w:val="auto"/>
                <w:sz w:val="24"/>
              </w:rPr>
              <w:t>），见下表。</w:t>
            </w:r>
          </w:p>
          <w:p>
            <w:pPr>
              <w:pStyle w:val="46"/>
              <w:rPr>
                <w:rFonts w:eastAsia="宋体" w:cs="Times New Roman"/>
                <w:b w:val="0"/>
                <w:bCs/>
                <w:szCs w:val="24"/>
              </w:rPr>
            </w:pPr>
            <w:r>
              <w:rPr>
                <w:rFonts w:eastAsia="宋体" w:cs="Times New Roman"/>
                <w:bCs/>
                <w:szCs w:val="24"/>
              </w:rPr>
              <w:t>表3-</w:t>
            </w:r>
            <w:r>
              <w:rPr>
                <w:rFonts w:hint="eastAsia" w:eastAsia="宋体" w:cs="Times New Roman"/>
                <w:bCs/>
                <w:szCs w:val="24"/>
              </w:rPr>
              <w:t>10</w:t>
            </w:r>
            <w:r>
              <w:rPr>
                <w:rFonts w:eastAsia="宋体" w:cs="Times New Roman"/>
                <w:bCs/>
                <w:szCs w:val="24"/>
              </w:rPr>
              <w:t xml:space="preserve"> </w:t>
            </w:r>
            <w:r>
              <w:rPr>
                <w:rFonts w:hint="eastAsia" w:eastAsia="宋体" w:cs="Times New Roman"/>
                <w:bCs/>
                <w:szCs w:val="24"/>
              </w:rPr>
              <w:t>建筑施工场界环境噪声排放标准</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558"/>
              <w:gridCol w:w="2458"/>
              <w:gridCol w:w="19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2231" w:type="pct"/>
                  <w:vMerge w:val="restart"/>
                  <w:vAlign w:val="center"/>
                </w:tcPr>
                <w:p>
                  <w:pPr>
                    <w:pStyle w:val="48"/>
                    <w:rPr>
                      <w:sz w:val="21"/>
                      <w:szCs w:val="21"/>
                    </w:rPr>
                  </w:pPr>
                  <w:r>
                    <w:rPr>
                      <w:rFonts w:hint="eastAsia"/>
                      <w:sz w:val="21"/>
                      <w:szCs w:val="21"/>
                    </w:rPr>
                    <w:t>主要噪声源</w:t>
                  </w:r>
                </w:p>
              </w:tc>
              <w:tc>
                <w:tcPr>
                  <w:tcW w:w="2769" w:type="pct"/>
                  <w:gridSpan w:val="2"/>
                  <w:vAlign w:val="center"/>
                </w:tcPr>
                <w:p>
                  <w:pPr>
                    <w:pStyle w:val="48"/>
                    <w:rPr>
                      <w:sz w:val="21"/>
                      <w:szCs w:val="21"/>
                    </w:rPr>
                  </w:pPr>
                  <w:r>
                    <w:rPr>
                      <w:rFonts w:hint="eastAsia"/>
                      <w:sz w:val="21"/>
                      <w:szCs w:val="21"/>
                    </w:rPr>
                    <w:t>噪声限值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2231" w:type="pct"/>
                  <w:vMerge w:val="continue"/>
                  <w:vAlign w:val="center"/>
                </w:tcPr>
                <w:p>
                  <w:pPr>
                    <w:pStyle w:val="48"/>
                    <w:rPr>
                      <w:sz w:val="21"/>
                      <w:szCs w:val="21"/>
                    </w:rPr>
                  </w:pPr>
                </w:p>
              </w:tc>
              <w:tc>
                <w:tcPr>
                  <w:tcW w:w="1541" w:type="pct"/>
                  <w:vAlign w:val="center"/>
                </w:tcPr>
                <w:p>
                  <w:pPr>
                    <w:pStyle w:val="48"/>
                    <w:rPr>
                      <w:sz w:val="21"/>
                      <w:szCs w:val="21"/>
                    </w:rPr>
                  </w:pPr>
                  <w:r>
                    <w:rPr>
                      <w:sz w:val="21"/>
                      <w:szCs w:val="21"/>
                    </w:rPr>
                    <w:t>昼间</w:t>
                  </w:r>
                </w:p>
              </w:tc>
              <w:tc>
                <w:tcPr>
                  <w:tcW w:w="1228" w:type="pct"/>
                  <w:vAlign w:val="center"/>
                </w:tcPr>
                <w:p>
                  <w:pPr>
                    <w:pStyle w:val="48"/>
                    <w:rPr>
                      <w:sz w:val="21"/>
                      <w:szCs w:val="21"/>
                    </w:rPr>
                  </w:pPr>
                  <w:r>
                    <w:rPr>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2231" w:type="pct"/>
                  <w:vAlign w:val="center"/>
                </w:tcPr>
                <w:p>
                  <w:pPr>
                    <w:pStyle w:val="48"/>
                    <w:rPr>
                      <w:sz w:val="21"/>
                      <w:szCs w:val="21"/>
                    </w:rPr>
                  </w:pPr>
                  <w:r>
                    <w:rPr>
                      <w:rFonts w:hint="eastAsia"/>
                      <w:sz w:val="21"/>
                      <w:szCs w:val="21"/>
                    </w:rPr>
                    <w:t>建筑施工</w:t>
                  </w:r>
                </w:p>
              </w:tc>
              <w:tc>
                <w:tcPr>
                  <w:tcW w:w="1541" w:type="pct"/>
                  <w:vAlign w:val="center"/>
                </w:tcPr>
                <w:p>
                  <w:pPr>
                    <w:pStyle w:val="48"/>
                    <w:rPr>
                      <w:sz w:val="21"/>
                      <w:szCs w:val="21"/>
                    </w:rPr>
                  </w:pPr>
                  <w:r>
                    <w:rPr>
                      <w:sz w:val="21"/>
                      <w:szCs w:val="21"/>
                    </w:rPr>
                    <w:t>60dB（A）</w:t>
                  </w:r>
                </w:p>
              </w:tc>
              <w:tc>
                <w:tcPr>
                  <w:tcW w:w="1228" w:type="pct"/>
                  <w:vAlign w:val="center"/>
                </w:tcPr>
                <w:p>
                  <w:pPr>
                    <w:pStyle w:val="48"/>
                    <w:rPr>
                      <w:sz w:val="21"/>
                      <w:szCs w:val="21"/>
                    </w:rPr>
                  </w:pPr>
                  <w:r>
                    <w:rPr>
                      <w:sz w:val="21"/>
                      <w:szCs w:val="21"/>
                    </w:rPr>
                    <w:t>50dB（A）</w:t>
                  </w:r>
                </w:p>
              </w:tc>
            </w:tr>
          </w:tbl>
          <w:p>
            <w:pPr>
              <w:pStyle w:val="52"/>
              <w:spacing w:line="500" w:lineRule="exact"/>
              <w:ind w:firstLine="480"/>
              <w:rPr>
                <w:rFonts w:cs="Times New Roman"/>
                <w:color w:val="auto"/>
                <w:sz w:val="24"/>
              </w:rPr>
            </w:pPr>
            <w:r>
              <w:rPr>
                <w:rFonts w:hint="eastAsia" w:cs="Times New Roman"/>
                <w:color w:val="auto"/>
                <w:sz w:val="24"/>
              </w:rPr>
              <w:t>本项目运营厂界噪声执行《工业企业厂界环境噪声排放标准》（GB12348-2008）表1中2类标准</w:t>
            </w:r>
            <w:r>
              <w:rPr>
                <w:rFonts w:cs="Times New Roman"/>
                <w:color w:val="auto"/>
                <w:sz w:val="24"/>
              </w:rPr>
              <w:t>。</w:t>
            </w:r>
          </w:p>
          <w:p>
            <w:pPr>
              <w:pStyle w:val="46"/>
              <w:rPr>
                <w:rFonts w:eastAsia="宋体" w:cs="Times New Roman"/>
                <w:b w:val="0"/>
                <w:bCs/>
                <w:szCs w:val="24"/>
              </w:rPr>
            </w:pPr>
            <w:r>
              <w:rPr>
                <w:rFonts w:eastAsia="宋体" w:cs="Times New Roman"/>
                <w:bCs/>
                <w:szCs w:val="24"/>
              </w:rPr>
              <w:t>表3-</w:t>
            </w:r>
            <w:r>
              <w:rPr>
                <w:rFonts w:hint="eastAsia" w:eastAsia="宋体" w:cs="Times New Roman"/>
                <w:bCs/>
                <w:szCs w:val="24"/>
              </w:rPr>
              <w:t>11</w:t>
            </w:r>
            <w:r>
              <w:rPr>
                <w:rFonts w:eastAsia="宋体" w:cs="Times New Roman"/>
                <w:bCs/>
                <w:szCs w:val="24"/>
              </w:rPr>
              <w:t xml:space="preserve"> 工业企业厂界环境噪声排放标准</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68"/>
              <w:gridCol w:w="2048"/>
              <w:gridCol w:w="19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2488" w:type="pct"/>
                  <w:vAlign w:val="center"/>
                </w:tcPr>
                <w:p>
                  <w:pPr>
                    <w:pStyle w:val="48"/>
                    <w:rPr>
                      <w:sz w:val="21"/>
                      <w:szCs w:val="21"/>
                    </w:rPr>
                  </w:pPr>
                  <w:r>
                    <w:rPr>
                      <w:sz w:val="21"/>
                      <w:szCs w:val="21"/>
                    </w:rPr>
                    <w:t>声环境功能区类别</w:t>
                  </w:r>
                </w:p>
              </w:tc>
              <w:tc>
                <w:tcPr>
                  <w:tcW w:w="1284" w:type="pct"/>
                  <w:vAlign w:val="center"/>
                </w:tcPr>
                <w:p>
                  <w:pPr>
                    <w:pStyle w:val="48"/>
                    <w:rPr>
                      <w:sz w:val="21"/>
                      <w:szCs w:val="21"/>
                    </w:rPr>
                  </w:pPr>
                  <w:r>
                    <w:rPr>
                      <w:sz w:val="21"/>
                      <w:szCs w:val="21"/>
                    </w:rPr>
                    <w:t>昼间</w:t>
                  </w:r>
                </w:p>
              </w:tc>
              <w:tc>
                <w:tcPr>
                  <w:tcW w:w="1228" w:type="pct"/>
                  <w:vAlign w:val="center"/>
                </w:tcPr>
                <w:p>
                  <w:pPr>
                    <w:pStyle w:val="48"/>
                    <w:rPr>
                      <w:sz w:val="21"/>
                      <w:szCs w:val="21"/>
                    </w:rPr>
                  </w:pPr>
                  <w:r>
                    <w:rPr>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2488" w:type="pct"/>
                  <w:vAlign w:val="center"/>
                </w:tcPr>
                <w:p>
                  <w:pPr>
                    <w:pStyle w:val="48"/>
                    <w:rPr>
                      <w:sz w:val="21"/>
                      <w:szCs w:val="21"/>
                    </w:rPr>
                  </w:pPr>
                  <w:r>
                    <w:rPr>
                      <w:sz w:val="21"/>
                      <w:szCs w:val="21"/>
                    </w:rPr>
                    <w:t>2类标准</w:t>
                  </w:r>
                </w:p>
              </w:tc>
              <w:tc>
                <w:tcPr>
                  <w:tcW w:w="1284" w:type="pct"/>
                  <w:vAlign w:val="center"/>
                </w:tcPr>
                <w:p>
                  <w:pPr>
                    <w:pStyle w:val="48"/>
                    <w:rPr>
                      <w:sz w:val="21"/>
                      <w:szCs w:val="21"/>
                    </w:rPr>
                  </w:pPr>
                  <w:r>
                    <w:rPr>
                      <w:sz w:val="21"/>
                      <w:szCs w:val="21"/>
                    </w:rPr>
                    <w:t>60dB（A）</w:t>
                  </w:r>
                </w:p>
              </w:tc>
              <w:tc>
                <w:tcPr>
                  <w:tcW w:w="1228" w:type="pct"/>
                  <w:vAlign w:val="center"/>
                </w:tcPr>
                <w:p>
                  <w:pPr>
                    <w:pStyle w:val="48"/>
                    <w:rPr>
                      <w:sz w:val="21"/>
                      <w:szCs w:val="21"/>
                    </w:rPr>
                  </w:pPr>
                  <w:r>
                    <w:rPr>
                      <w:sz w:val="21"/>
                      <w:szCs w:val="21"/>
                    </w:rPr>
                    <w:t>50dB（A）</w:t>
                  </w:r>
                </w:p>
              </w:tc>
            </w:tr>
          </w:tbl>
          <w:p>
            <w:pPr>
              <w:pStyle w:val="52"/>
              <w:adjustRightInd w:val="0"/>
              <w:spacing w:line="500" w:lineRule="exact"/>
              <w:ind w:firstLine="482"/>
              <w:rPr>
                <w:rFonts w:cs="Times New Roman"/>
                <w:b/>
                <w:bCs/>
                <w:color w:val="auto"/>
                <w:sz w:val="24"/>
              </w:rPr>
            </w:pPr>
            <w:r>
              <w:rPr>
                <w:rFonts w:hint="eastAsia" w:cs="Times New Roman"/>
                <w:b/>
                <w:bCs/>
                <w:color w:val="auto"/>
                <w:sz w:val="24"/>
              </w:rPr>
              <w:t>3</w:t>
            </w:r>
            <w:r>
              <w:rPr>
                <w:rFonts w:cs="Times New Roman"/>
                <w:b/>
                <w:bCs/>
                <w:color w:val="auto"/>
                <w:sz w:val="24"/>
              </w:rPr>
              <w:t>、固体废物</w:t>
            </w:r>
          </w:p>
          <w:p>
            <w:pPr>
              <w:pStyle w:val="52"/>
              <w:adjustRightInd w:val="0"/>
              <w:spacing w:line="500" w:lineRule="exact"/>
              <w:ind w:firstLine="480"/>
              <w:rPr>
                <w:rFonts w:cs="Times New Roman"/>
                <w:color w:val="auto"/>
                <w:sz w:val="24"/>
              </w:rPr>
            </w:pPr>
            <w:r>
              <w:rPr>
                <w:rFonts w:cs="Times New Roman"/>
                <w:color w:val="auto"/>
                <w:sz w:val="24"/>
              </w:rPr>
              <w:t>《一般工业固体废物贮存和填埋污染控制标准》（GB18599-2020）；</w:t>
            </w:r>
          </w:p>
          <w:p>
            <w:pPr>
              <w:pStyle w:val="52"/>
              <w:adjustRightInd w:val="0"/>
              <w:spacing w:line="500" w:lineRule="exact"/>
              <w:ind w:firstLine="480"/>
              <w:rPr>
                <w:rFonts w:cs="Times New Roman"/>
                <w:color w:val="auto"/>
                <w:sz w:val="24"/>
              </w:rPr>
            </w:pPr>
            <w:r>
              <w:rPr>
                <w:rFonts w:hint="eastAsia" w:cs="Times New Roman"/>
                <w:color w:val="auto"/>
                <w:sz w:val="24"/>
              </w:rPr>
              <w:t>《危险废物贮存污染控制标准》（GB18597-2023）。</w:t>
            </w:r>
          </w:p>
          <w:p>
            <w:pPr>
              <w:pStyle w:val="52"/>
              <w:adjustRightInd w:val="0"/>
              <w:spacing w:line="500" w:lineRule="exact"/>
              <w:ind w:firstLine="480"/>
              <w:rPr>
                <w:rFonts w:cs="Times New Roman"/>
                <w:color w:val="auto"/>
                <w:sz w:val="24"/>
              </w:rPr>
            </w:pPr>
          </w:p>
          <w:p>
            <w:pPr>
              <w:pStyle w:val="52"/>
              <w:adjustRightInd w:val="0"/>
              <w:spacing w:line="500" w:lineRule="exact"/>
              <w:ind w:firstLine="480"/>
              <w:rPr>
                <w:rFonts w:cs="Times New Roman"/>
                <w:color w:val="auto"/>
                <w:sz w:val="24"/>
              </w:rPr>
            </w:pPr>
          </w:p>
          <w:p>
            <w:pPr>
              <w:pStyle w:val="52"/>
              <w:adjustRightInd w:val="0"/>
              <w:spacing w:line="500" w:lineRule="exact"/>
              <w:ind w:firstLine="480"/>
              <w:rPr>
                <w:rFonts w:cs="Times New Roman"/>
                <w:color w:val="auto"/>
                <w:sz w:val="24"/>
              </w:rPr>
            </w:pPr>
          </w:p>
          <w:p>
            <w:pPr>
              <w:pStyle w:val="52"/>
              <w:adjustRightInd w:val="0"/>
              <w:spacing w:line="500" w:lineRule="exact"/>
              <w:ind w:firstLine="480"/>
              <w:rPr>
                <w:rFonts w:cs="Times New Roman"/>
                <w:color w:val="auto"/>
                <w:sz w:val="24"/>
              </w:rPr>
            </w:pPr>
          </w:p>
          <w:p>
            <w:pPr>
              <w:pStyle w:val="52"/>
              <w:adjustRightInd w:val="0"/>
              <w:spacing w:line="500" w:lineRule="exact"/>
              <w:ind w:firstLine="480"/>
              <w:rPr>
                <w:rFonts w:cs="Times New Roman"/>
                <w:color w:val="auto"/>
                <w:sz w:val="24"/>
              </w:rPr>
            </w:pPr>
          </w:p>
          <w:p>
            <w:pPr>
              <w:pStyle w:val="52"/>
              <w:adjustRightInd w:val="0"/>
              <w:spacing w:line="500" w:lineRule="exact"/>
              <w:ind w:firstLine="480"/>
              <w:rPr>
                <w:rFonts w:cs="Times New Roman"/>
                <w:color w:val="auto"/>
                <w:sz w:val="24"/>
              </w:rPr>
            </w:pPr>
          </w:p>
          <w:p>
            <w:pPr>
              <w:pStyle w:val="52"/>
              <w:adjustRightInd w:val="0"/>
              <w:spacing w:line="500" w:lineRule="exact"/>
              <w:ind w:firstLine="480"/>
              <w:rPr>
                <w:rFonts w:cs="Times New Roman"/>
                <w:color w:val="auto"/>
                <w:sz w:val="24"/>
              </w:rPr>
            </w:pPr>
          </w:p>
          <w:p>
            <w:pPr>
              <w:pStyle w:val="52"/>
              <w:adjustRightInd w:val="0"/>
              <w:spacing w:line="500" w:lineRule="exact"/>
              <w:ind w:firstLine="480"/>
              <w:rPr>
                <w:rFonts w:cs="Times New Roman"/>
                <w:color w:val="auto"/>
                <w:sz w:val="24"/>
              </w:rPr>
            </w:pPr>
          </w:p>
          <w:p>
            <w:pPr>
              <w:pStyle w:val="52"/>
              <w:adjustRightInd w:val="0"/>
              <w:spacing w:line="500" w:lineRule="exact"/>
              <w:ind w:firstLine="480"/>
              <w:rPr>
                <w:rFonts w:cs="Times New Roman"/>
                <w:color w:val="auto"/>
                <w:sz w:val="24"/>
              </w:rPr>
            </w:pPr>
          </w:p>
          <w:p>
            <w:pPr>
              <w:pStyle w:val="52"/>
              <w:adjustRightInd w:val="0"/>
              <w:spacing w:line="500" w:lineRule="exact"/>
              <w:ind w:firstLine="480"/>
              <w:rPr>
                <w:rFonts w:cs="Times New Roman"/>
                <w:color w:val="auto"/>
                <w:sz w:val="24"/>
              </w:rPr>
            </w:pPr>
          </w:p>
          <w:p>
            <w:pPr>
              <w:pStyle w:val="52"/>
              <w:adjustRightInd w:val="0"/>
              <w:spacing w:line="500" w:lineRule="exact"/>
              <w:ind w:firstLine="480"/>
              <w:rPr>
                <w:rFonts w:cs="Times New Roman"/>
                <w:color w:val="auto"/>
                <w:sz w:val="24"/>
              </w:rPr>
            </w:pPr>
          </w:p>
          <w:p>
            <w:pPr>
              <w:pStyle w:val="52"/>
              <w:adjustRightInd w:val="0"/>
              <w:spacing w:line="500" w:lineRule="exact"/>
              <w:ind w:firstLine="480"/>
              <w:rPr>
                <w:rFonts w:cs="Times New Roman"/>
                <w:color w:val="auto"/>
                <w:sz w:val="24"/>
              </w:rPr>
            </w:pPr>
          </w:p>
          <w:p>
            <w:pPr>
              <w:pStyle w:val="52"/>
              <w:adjustRightInd w:val="0"/>
              <w:spacing w:line="500" w:lineRule="exact"/>
              <w:ind w:firstLine="480"/>
              <w:rPr>
                <w:rFonts w:cs="Times New Roman"/>
                <w:color w:val="auto"/>
                <w:sz w:val="24"/>
              </w:rPr>
            </w:pPr>
          </w:p>
          <w:p>
            <w:pPr>
              <w:pStyle w:val="52"/>
              <w:adjustRightInd w:val="0"/>
              <w:spacing w:line="500" w:lineRule="exact"/>
              <w:ind w:firstLine="480"/>
              <w:rPr>
                <w:rFonts w:cs="Times New Roman"/>
                <w:color w:val="auto"/>
                <w:sz w:val="24"/>
              </w:rPr>
            </w:pPr>
          </w:p>
          <w:p>
            <w:pPr>
              <w:pStyle w:val="52"/>
              <w:adjustRightInd w:val="0"/>
              <w:spacing w:line="500" w:lineRule="exact"/>
              <w:ind w:firstLine="480"/>
              <w:rPr>
                <w:rFonts w:cs="Times New Roman"/>
                <w:color w:val="auto"/>
                <w:sz w:val="24"/>
              </w:rPr>
            </w:pPr>
          </w:p>
          <w:p>
            <w:pPr>
              <w:pStyle w:val="52"/>
              <w:adjustRightInd w:val="0"/>
              <w:spacing w:line="500" w:lineRule="exact"/>
              <w:ind w:firstLine="480"/>
              <w:rPr>
                <w:rFonts w:cs="Times New Roman"/>
                <w:color w:val="auto"/>
                <w:sz w:val="24"/>
              </w:rPr>
            </w:pPr>
          </w:p>
          <w:p>
            <w:pPr>
              <w:pStyle w:val="52"/>
              <w:adjustRightInd w:val="0"/>
              <w:spacing w:line="500" w:lineRule="exact"/>
              <w:ind w:firstLine="0" w:firstLineChars="0"/>
              <w:rPr>
                <w:rFonts w:cs="Times New Roman"/>
                <w:color w:val="auto"/>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79" w:hRule="atLeast"/>
          <w:jc w:val="center"/>
        </w:trPr>
        <w:tc>
          <w:tcPr>
            <w:tcW w:w="800" w:type="dxa"/>
            <w:vAlign w:val="center"/>
          </w:tcPr>
          <w:p>
            <w:pPr>
              <w:jc w:val="center"/>
              <w:rPr>
                <w:sz w:val="24"/>
              </w:rPr>
            </w:pPr>
            <w:r>
              <w:rPr>
                <w:sz w:val="24"/>
              </w:rPr>
              <w:t>总量</w:t>
            </w:r>
          </w:p>
          <w:p>
            <w:pPr>
              <w:jc w:val="center"/>
              <w:rPr>
                <w:sz w:val="24"/>
              </w:rPr>
            </w:pPr>
            <w:r>
              <w:rPr>
                <w:sz w:val="24"/>
              </w:rPr>
              <w:t>控制</w:t>
            </w:r>
          </w:p>
          <w:p>
            <w:pPr>
              <w:jc w:val="center"/>
              <w:rPr>
                <w:sz w:val="24"/>
              </w:rPr>
            </w:pPr>
            <w:r>
              <w:rPr>
                <w:sz w:val="24"/>
              </w:rPr>
              <w:t>指标</w:t>
            </w:r>
          </w:p>
        </w:tc>
        <w:tc>
          <w:tcPr>
            <w:tcW w:w="8190" w:type="dxa"/>
            <w:vAlign w:val="center"/>
          </w:tcPr>
          <w:p>
            <w:pPr>
              <w:pStyle w:val="123"/>
              <w:rPr>
                <w:rFonts w:cs="Times New Roman"/>
                <w:color w:val="auto"/>
                <w:sz w:val="24"/>
                <w:szCs w:val="24"/>
              </w:rPr>
            </w:pPr>
            <w:r>
              <w:rPr>
                <w:rFonts w:cs="Times New Roman"/>
                <w:color w:val="auto"/>
                <w:sz w:val="24"/>
                <w:szCs w:val="24"/>
              </w:rPr>
              <w:t>根据国家实施总量控制的有关规定要求，考虑本项目工程排污特征，确定本项目污染物排放总量控制因子见下表。</w:t>
            </w:r>
          </w:p>
          <w:p>
            <w:pPr>
              <w:pStyle w:val="46"/>
              <w:rPr>
                <w:rFonts w:eastAsia="宋体" w:cs="Times New Roman"/>
                <w:szCs w:val="24"/>
              </w:rPr>
            </w:pPr>
            <w:r>
              <w:rPr>
                <w:rFonts w:eastAsia="宋体" w:cs="Times New Roman"/>
                <w:szCs w:val="24"/>
              </w:rPr>
              <w:t>表3-</w:t>
            </w:r>
            <w:r>
              <w:rPr>
                <w:rFonts w:hint="eastAsia" w:eastAsia="宋体" w:cs="Times New Roman"/>
                <w:szCs w:val="24"/>
              </w:rPr>
              <w:t>12</w:t>
            </w:r>
            <w:r>
              <w:rPr>
                <w:rFonts w:eastAsia="宋体" w:cs="Times New Roman"/>
                <w:szCs w:val="24"/>
              </w:rPr>
              <w:t xml:space="preserve"> </w:t>
            </w:r>
            <w:r>
              <w:rPr>
                <w:rFonts w:hint="eastAsia" w:eastAsia="宋体" w:cs="Times New Roman"/>
                <w:szCs w:val="24"/>
              </w:rPr>
              <w:t>本项目</w:t>
            </w:r>
            <w:r>
              <w:rPr>
                <w:rFonts w:eastAsia="宋体" w:cs="Times New Roman"/>
                <w:szCs w:val="24"/>
              </w:rPr>
              <w:t>总量控制指标</w:t>
            </w:r>
            <w:r>
              <w:rPr>
                <w:rFonts w:hint="eastAsia" w:eastAsia="宋体" w:cs="Times New Roman"/>
                <w:szCs w:val="24"/>
              </w:rPr>
              <w:t>（单位：t/a）</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2502"/>
              <w:gridCol w:w="1927"/>
              <w:gridCol w:w="21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1415" w:type="dxa"/>
                  <w:vAlign w:val="center"/>
                </w:tcPr>
                <w:p>
                  <w:pPr>
                    <w:adjustRightInd w:val="0"/>
                    <w:snapToGrid w:val="0"/>
                    <w:jc w:val="center"/>
                    <w:rPr>
                      <w:szCs w:val="21"/>
                    </w:rPr>
                  </w:pPr>
                  <w:r>
                    <w:rPr>
                      <w:rFonts w:hint="eastAsia"/>
                      <w:szCs w:val="21"/>
                    </w:rPr>
                    <w:t>污染物类型</w:t>
                  </w:r>
                </w:p>
              </w:tc>
              <w:tc>
                <w:tcPr>
                  <w:tcW w:w="2569" w:type="dxa"/>
                  <w:vAlign w:val="center"/>
                </w:tcPr>
                <w:p>
                  <w:pPr>
                    <w:adjustRightInd w:val="0"/>
                    <w:snapToGrid w:val="0"/>
                    <w:jc w:val="center"/>
                    <w:rPr>
                      <w:szCs w:val="21"/>
                    </w:rPr>
                  </w:pPr>
                  <w:bookmarkStart w:id="19" w:name="_Hlk173144102"/>
                  <w:r>
                    <w:rPr>
                      <w:szCs w:val="21"/>
                    </w:rPr>
                    <w:t>污染物</w:t>
                  </w:r>
                </w:p>
              </w:tc>
              <w:tc>
                <w:tcPr>
                  <w:tcW w:w="1967" w:type="dxa"/>
                  <w:vAlign w:val="center"/>
                </w:tcPr>
                <w:p>
                  <w:pPr>
                    <w:adjustRightInd w:val="0"/>
                    <w:snapToGrid w:val="0"/>
                    <w:jc w:val="center"/>
                    <w:rPr>
                      <w:szCs w:val="21"/>
                    </w:rPr>
                  </w:pPr>
                  <w:r>
                    <w:rPr>
                      <w:rFonts w:hint="eastAsia"/>
                      <w:szCs w:val="21"/>
                    </w:rPr>
                    <w:t>本项目预测排放量</w:t>
                  </w:r>
                </w:p>
              </w:tc>
              <w:tc>
                <w:tcPr>
                  <w:tcW w:w="2208" w:type="dxa"/>
                  <w:vAlign w:val="center"/>
                </w:tcPr>
                <w:p>
                  <w:pPr>
                    <w:adjustRightInd w:val="0"/>
                    <w:snapToGrid w:val="0"/>
                    <w:jc w:val="center"/>
                    <w:rPr>
                      <w:szCs w:val="21"/>
                    </w:rPr>
                  </w:pPr>
                  <w:r>
                    <w:rPr>
                      <w:rFonts w:hint="eastAsia"/>
                      <w:szCs w:val="21"/>
                    </w:rPr>
                    <w:t>本项目核定排放量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415" w:type="dxa"/>
                  <w:vAlign w:val="center"/>
                </w:tcPr>
                <w:p>
                  <w:pPr>
                    <w:adjustRightInd w:val="0"/>
                    <w:snapToGrid w:val="0"/>
                    <w:jc w:val="center"/>
                    <w:rPr>
                      <w:szCs w:val="21"/>
                    </w:rPr>
                  </w:pPr>
                  <w:r>
                    <w:rPr>
                      <w:rFonts w:hint="eastAsia"/>
                      <w:szCs w:val="21"/>
                    </w:rPr>
                    <w:t>废气</w:t>
                  </w:r>
                </w:p>
              </w:tc>
              <w:tc>
                <w:tcPr>
                  <w:tcW w:w="2569" w:type="dxa"/>
                  <w:vAlign w:val="center"/>
                </w:tcPr>
                <w:p>
                  <w:pPr>
                    <w:adjustRightInd w:val="0"/>
                    <w:snapToGrid w:val="0"/>
                    <w:jc w:val="center"/>
                    <w:rPr>
                      <w:szCs w:val="21"/>
                    </w:rPr>
                  </w:pPr>
                  <w:r>
                    <w:rPr>
                      <w:rFonts w:hint="eastAsia"/>
                      <w:szCs w:val="21"/>
                    </w:rPr>
                    <w:t>工业粉尘</w:t>
                  </w:r>
                </w:p>
              </w:tc>
              <w:tc>
                <w:tcPr>
                  <w:tcW w:w="1967" w:type="dxa"/>
                  <w:vAlign w:val="center"/>
                </w:tcPr>
                <w:p>
                  <w:pPr>
                    <w:adjustRightInd w:val="0"/>
                    <w:snapToGrid w:val="0"/>
                    <w:jc w:val="center"/>
                    <w:rPr>
                      <w:rFonts w:eastAsia="等线"/>
                      <w:szCs w:val="21"/>
                      <w:u w:color="4472C4" w:themeColor="accent1"/>
                    </w:rPr>
                  </w:pPr>
                  <w:r>
                    <w:rPr>
                      <w:rFonts w:hint="eastAsia"/>
                      <w:kern w:val="0"/>
                      <w:szCs w:val="21"/>
                    </w:rPr>
                    <w:t>6.366</w:t>
                  </w:r>
                </w:p>
              </w:tc>
              <w:tc>
                <w:tcPr>
                  <w:tcW w:w="2208" w:type="dxa"/>
                  <w:vAlign w:val="center"/>
                </w:tcPr>
                <w:p>
                  <w:pPr>
                    <w:adjustRightInd w:val="0"/>
                    <w:snapToGrid w:val="0"/>
                    <w:jc w:val="center"/>
                    <w:rPr>
                      <w:szCs w:val="21"/>
                    </w:rPr>
                  </w:pPr>
                  <w:r>
                    <w:rPr>
                      <w:szCs w:val="21"/>
                    </w:rPr>
                    <w:t>6.366</w:t>
                  </w:r>
                </w:p>
              </w:tc>
            </w:tr>
            <w:bookmarkEnd w:id="19"/>
          </w:tbl>
          <w:p>
            <w:pPr>
              <w:pStyle w:val="52"/>
              <w:ind w:firstLine="480"/>
              <w:rPr>
                <w:rFonts w:cs="Times New Roman"/>
                <w:color w:val="auto"/>
                <w:sz w:val="24"/>
              </w:rPr>
            </w:pPr>
          </w:p>
        </w:tc>
      </w:tr>
    </w:tbl>
    <w:p>
      <w:pPr>
        <w:pStyle w:val="15"/>
        <w:adjustRightInd w:val="0"/>
        <w:snapToGrid w:val="0"/>
        <w:spacing w:before="0" w:beforeAutospacing="0" w:after="0" w:afterAutospacing="0"/>
        <w:ind w:firstLine="360" w:firstLineChars="100"/>
        <w:outlineLvl w:val="0"/>
        <w:rPr>
          <w:rFonts w:ascii="Times New Roman" w:hAnsi="Times New Roman"/>
          <w:snapToGrid w:val="0"/>
          <w:sz w:val="36"/>
          <w:szCs w:val="36"/>
        </w:rPr>
        <w:sectPr>
          <w:pgSz w:w="11907" w:h="16840"/>
          <w:pgMar w:top="1701" w:right="1531" w:bottom="2127" w:left="1531" w:header="851" w:footer="851" w:gutter="0"/>
          <w:cols w:space="720" w:num="1"/>
          <w:docGrid w:linePitch="312" w:charSpace="0"/>
        </w:sectPr>
      </w:pPr>
    </w:p>
    <w:p>
      <w:pPr>
        <w:pStyle w:val="15"/>
        <w:adjustRightInd w:val="0"/>
        <w:snapToGrid w:val="0"/>
        <w:spacing w:before="0" w:beforeAutospacing="0" w:after="0" w:afterAutospacing="0"/>
        <w:outlineLvl w:val="0"/>
        <w:rPr>
          <w:rFonts w:ascii="Times New Roman" w:hAnsi="Times New Roman"/>
          <w:snapToGrid w:val="0"/>
          <w:sz w:val="30"/>
          <w:szCs w:val="30"/>
        </w:rPr>
      </w:pPr>
      <w:bookmarkStart w:id="20" w:name="_Toc210915803"/>
      <w:r>
        <w:rPr>
          <w:rFonts w:ascii="Times New Roman" w:hAnsi="Times New Roman"/>
          <w:snapToGrid w:val="0"/>
          <w:sz w:val="30"/>
          <w:szCs w:val="30"/>
        </w:rPr>
        <w:t>四、主要环境影响和保护措施</w:t>
      </w:r>
      <w:bookmarkEnd w:id="20"/>
    </w:p>
    <w:tbl>
      <w:tblPr>
        <w:tblStyle w:val="21"/>
        <w:tblW w:w="9073" w:type="dxa"/>
        <w:tblInd w:w="-1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82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3" w:hRule="atLeast"/>
        </w:trPr>
        <w:tc>
          <w:tcPr>
            <w:tcW w:w="851" w:type="dxa"/>
            <w:vAlign w:val="center"/>
          </w:tcPr>
          <w:p>
            <w:pPr>
              <w:jc w:val="center"/>
              <w:rPr>
                <w:sz w:val="24"/>
              </w:rPr>
            </w:pPr>
            <w:r>
              <w:rPr>
                <w:sz w:val="24"/>
              </w:rPr>
              <w:t>施工</w:t>
            </w:r>
          </w:p>
          <w:p>
            <w:pPr>
              <w:jc w:val="center"/>
              <w:rPr>
                <w:sz w:val="24"/>
              </w:rPr>
            </w:pPr>
            <w:r>
              <w:rPr>
                <w:sz w:val="24"/>
              </w:rPr>
              <w:t>期环</w:t>
            </w:r>
          </w:p>
          <w:p>
            <w:pPr>
              <w:jc w:val="center"/>
              <w:rPr>
                <w:sz w:val="24"/>
              </w:rPr>
            </w:pPr>
            <w:r>
              <w:rPr>
                <w:sz w:val="24"/>
              </w:rPr>
              <w:t>境保</w:t>
            </w:r>
          </w:p>
          <w:p>
            <w:pPr>
              <w:jc w:val="center"/>
              <w:rPr>
                <w:sz w:val="24"/>
              </w:rPr>
            </w:pPr>
            <w:r>
              <w:rPr>
                <w:sz w:val="24"/>
              </w:rPr>
              <w:t>护措</w:t>
            </w:r>
          </w:p>
          <w:p>
            <w:pPr>
              <w:jc w:val="center"/>
              <w:rPr>
                <w:sz w:val="24"/>
              </w:rPr>
            </w:pPr>
            <w:r>
              <w:rPr>
                <w:sz w:val="24"/>
              </w:rPr>
              <w:t>施</w:t>
            </w:r>
          </w:p>
        </w:tc>
        <w:tc>
          <w:tcPr>
            <w:tcW w:w="8222" w:type="dxa"/>
            <w:vAlign w:val="center"/>
          </w:tcPr>
          <w:p>
            <w:pPr>
              <w:pStyle w:val="52"/>
              <w:ind w:firstLine="480"/>
              <w:rPr>
                <w:rFonts w:cs="Times New Roman"/>
                <w:color w:val="auto"/>
                <w:sz w:val="24"/>
              </w:rPr>
            </w:pPr>
            <w:r>
              <w:rPr>
                <w:rFonts w:hint="eastAsia" w:cs="Times New Roman"/>
                <w:color w:val="auto"/>
                <w:sz w:val="24"/>
              </w:rPr>
              <w:t>一、废水</w:t>
            </w:r>
          </w:p>
          <w:p>
            <w:pPr>
              <w:pStyle w:val="52"/>
              <w:ind w:firstLine="480"/>
              <w:rPr>
                <w:rFonts w:cs="Times New Roman"/>
                <w:color w:val="auto"/>
                <w:sz w:val="24"/>
              </w:rPr>
            </w:pPr>
            <w:r>
              <w:rPr>
                <w:rFonts w:hint="eastAsia" w:cs="Times New Roman"/>
                <w:color w:val="auto"/>
                <w:sz w:val="24"/>
              </w:rPr>
              <w:t>施工期产生的废水主要为施工人员生活污水和施工活动自身产生的废水。施工人员产生的生活污水主要污染因子为COD、SS等。施工活动自身产生的废水主要为混凝土养护水等，主要污染因子为SS。为减少施工期间废水的污染，施工人员进入到现场后，在建设临时设施后，应设置沉淀池等处理设施。施工废水经沉淀池处理后回用，不外排；施工人员生活污水排入现有防渗旱厕，定期清掏，外运堆肥，不外排。</w:t>
            </w:r>
          </w:p>
          <w:p>
            <w:pPr>
              <w:pStyle w:val="52"/>
              <w:ind w:firstLine="480"/>
              <w:rPr>
                <w:rFonts w:cs="Times New Roman"/>
                <w:color w:val="auto"/>
                <w:sz w:val="24"/>
              </w:rPr>
            </w:pPr>
            <w:r>
              <w:rPr>
                <w:rFonts w:hint="eastAsia" w:cs="Times New Roman"/>
                <w:color w:val="auto"/>
                <w:sz w:val="24"/>
              </w:rPr>
              <w:t>二、废气</w:t>
            </w:r>
          </w:p>
          <w:p>
            <w:pPr>
              <w:pStyle w:val="79"/>
              <w:ind w:firstLine="480"/>
              <w:rPr>
                <w:rFonts w:cs="Times New Roman"/>
                <w:color w:val="auto"/>
                <w:sz w:val="24"/>
              </w:rPr>
            </w:pPr>
            <w:r>
              <w:rPr>
                <w:rFonts w:hint="eastAsia" w:cs="Times New Roman"/>
                <w:color w:val="auto"/>
                <w:sz w:val="24"/>
              </w:rPr>
              <w:t>施工扬尘来自于土地清理、挖掘、回填、土方转运和堆积，大部分是由车辆在工地的来往行驶引起的。扬尘的排放与施工场地的面积和施工活动频率成比例，与土壤的泥沙颗粒含量成正比的，还与当地气象条件如风速、湿度、日照等有关。施工期的扬尘按同类项目的监测数据进行类比分析计算，施工工地扬尘浓度约为0.5~0.7mg/m</w:t>
            </w:r>
            <w:r>
              <w:rPr>
                <w:rFonts w:hint="eastAsia" w:cs="Times New Roman"/>
                <w:color w:val="auto"/>
                <w:sz w:val="24"/>
                <w:vertAlign w:val="superscript"/>
              </w:rPr>
              <w:t>3</w:t>
            </w:r>
            <w:r>
              <w:rPr>
                <w:rFonts w:hint="eastAsia" w:cs="Times New Roman"/>
                <w:color w:val="auto"/>
                <w:sz w:val="24"/>
              </w:rPr>
              <w:t>。施工期采取设置围挡，使用商品混凝土，粉性物料集中地点存放并加盖苫布等措施。干燥天气应经常性给沙堆洒水，保持沙堆一定的湿度，减少起尘量。</w:t>
            </w:r>
          </w:p>
          <w:p>
            <w:pPr>
              <w:pStyle w:val="79"/>
              <w:ind w:firstLine="480"/>
              <w:rPr>
                <w:color w:val="auto"/>
                <w:sz w:val="24"/>
              </w:rPr>
            </w:pPr>
            <w:r>
              <w:rPr>
                <w:rFonts w:hint="eastAsia" w:cs="Times New Roman"/>
                <w:color w:val="auto"/>
                <w:sz w:val="24"/>
              </w:rPr>
              <w:t>采取上述措施后，本项目施工期废气能够满足《大气污染物综合排放标准》（</w:t>
            </w:r>
            <w:r>
              <w:rPr>
                <w:rFonts w:cs="Times New Roman"/>
                <w:color w:val="auto"/>
                <w:sz w:val="24"/>
              </w:rPr>
              <w:t>GB16297-1996</w:t>
            </w:r>
            <w:r>
              <w:rPr>
                <w:rFonts w:hint="eastAsia" w:cs="Times New Roman"/>
                <w:color w:val="auto"/>
                <w:sz w:val="24"/>
              </w:rPr>
              <w:t>）表</w:t>
            </w:r>
            <w:r>
              <w:rPr>
                <w:rFonts w:cs="Times New Roman"/>
                <w:color w:val="auto"/>
                <w:sz w:val="24"/>
              </w:rPr>
              <w:t>2</w:t>
            </w:r>
            <w:r>
              <w:rPr>
                <w:rFonts w:hint="eastAsia" w:cs="Times New Roman"/>
                <w:color w:val="auto"/>
                <w:sz w:val="24"/>
              </w:rPr>
              <w:t>中颗粒物无组织排放监控浓度限值要求。</w:t>
            </w:r>
          </w:p>
          <w:p>
            <w:pPr>
              <w:pStyle w:val="52"/>
              <w:ind w:firstLine="480"/>
              <w:rPr>
                <w:rFonts w:cs="Times New Roman"/>
                <w:color w:val="auto"/>
                <w:sz w:val="24"/>
              </w:rPr>
            </w:pPr>
            <w:r>
              <w:rPr>
                <w:rFonts w:hint="eastAsia" w:cs="Times New Roman"/>
                <w:color w:val="auto"/>
                <w:sz w:val="24"/>
              </w:rPr>
              <w:t>三、噪声</w:t>
            </w:r>
          </w:p>
          <w:p>
            <w:pPr>
              <w:pStyle w:val="52"/>
              <w:ind w:firstLine="480"/>
              <w:rPr>
                <w:rFonts w:cs="Times New Roman"/>
                <w:color w:val="auto"/>
                <w:sz w:val="24"/>
              </w:rPr>
            </w:pPr>
            <w:r>
              <w:rPr>
                <w:rFonts w:hint="eastAsia" w:cs="Times New Roman"/>
                <w:color w:val="auto"/>
                <w:sz w:val="24"/>
              </w:rPr>
              <w:t>施工期间，运输车辆和各种机械都是主要的噪声源，噪声源强在75~85dB（A）。建议在施工期间采取以下相应措施降低噪声：</w:t>
            </w:r>
          </w:p>
          <w:p>
            <w:pPr>
              <w:pStyle w:val="52"/>
              <w:ind w:firstLine="480"/>
              <w:rPr>
                <w:rFonts w:cs="Times New Roman"/>
                <w:color w:val="auto"/>
                <w:sz w:val="24"/>
              </w:rPr>
            </w:pPr>
            <w:r>
              <w:rPr>
                <w:rFonts w:hint="eastAsia" w:cs="Times New Roman"/>
                <w:color w:val="auto"/>
                <w:sz w:val="24"/>
              </w:rPr>
              <w:t>（一）加强施工管理，合理安排作业时间，严格执行施工噪声管理的有关规定；</w:t>
            </w:r>
          </w:p>
          <w:p>
            <w:pPr>
              <w:pStyle w:val="52"/>
              <w:ind w:firstLine="480"/>
              <w:rPr>
                <w:rFonts w:cs="Times New Roman"/>
                <w:color w:val="auto"/>
                <w:sz w:val="24"/>
              </w:rPr>
            </w:pPr>
            <w:r>
              <w:rPr>
                <w:rFonts w:hint="eastAsia" w:cs="Times New Roman"/>
                <w:color w:val="auto"/>
                <w:sz w:val="24"/>
              </w:rPr>
              <w:t>（二）尽量采用低噪声施工设备和噪声低的施工方法；</w:t>
            </w:r>
          </w:p>
          <w:p>
            <w:pPr>
              <w:pStyle w:val="52"/>
              <w:ind w:firstLine="480"/>
              <w:rPr>
                <w:rFonts w:cs="Times New Roman"/>
                <w:color w:val="auto"/>
                <w:sz w:val="24"/>
              </w:rPr>
            </w:pPr>
            <w:r>
              <w:rPr>
                <w:rFonts w:hint="eastAsia" w:cs="Times New Roman"/>
                <w:color w:val="auto"/>
                <w:sz w:val="24"/>
              </w:rPr>
              <w:t>（三）作业时在高噪声设备周围设置屏蔽；</w:t>
            </w:r>
          </w:p>
          <w:p>
            <w:pPr>
              <w:pStyle w:val="52"/>
              <w:ind w:firstLine="480"/>
              <w:rPr>
                <w:rFonts w:cs="Times New Roman"/>
                <w:color w:val="auto"/>
                <w:sz w:val="24"/>
              </w:rPr>
            </w:pPr>
            <w:r>
              <w:rPr>
                <w:rFonts w:hint="eastAsia" w:cs="Times New Roman"/>
                <w:color w:val="auto"/>
                <w:sz w:val="24"/>
              </w:rPr>
              <w:t>（四）加强运输车辆的管理，建材等运输在白天进行，并控制车辆鸣笛。</w:t>
            </w:r>
            <w:r>
              <w:rPr>
                <w:rFonts w:cs="Times New Roman"/>
                <w:color w:val="auto"/>
                <w:sz w:val="24"/>
              </w:rPr>
              <w:t xml:space="preserve"> </w:t>
            </w:r>
          </w:p>
          <w:p>
            <w:pPr>
              <w:pStyle w:val="52"/>
              <w:ind w:firstLine="480"/>
              <w:rPr>
                <w:rFonts w:cs="Times New Roman"/>
                <w:color w:val="auto"/>
                <w:sz w:val="24"/>
              </w:rPr>
            </w:pPr>
            <w:r>
              <w:rPr>
                <w:rFonts w:hint="eastAsia" w:cs="Times New Roman"/>
                <w:color w:val="auto"/>
                <w:sz w:val="24"/>
              </w:rPr>
              <w:t>采取以上措施后，施工场界声环境可满足《建筑施工场界环境噪声排放标准》（GB12523-2011）中规定的标准。</w:t>
            </w:r>
          </w:p>
          <w:p>
            <w:pPr>
              <w:pStyle w:val="52"/>
              <w:ind w:firstLine="480"/>
              <w:rPr>
                <w:rFonts w:cs="Times New Roman"/>
                <w:color w:val="auto"/>
                <w:sz w:val="24"/>
              </w:rPr>
            </w:pPr>
            <w:r>
              <w:rPr>
                <w:rFonts w:hint="eastAsia" w:cs="Times New Roman"/>
                <w:color w:val="auto"/>
                <w:sz w:val="24"/>
              </w:rPr>
              <w:t>四、固体废物</w:t>
            </w:r>
          </w:p>
          <w:p>
            <w:pPr>
              <w:pStyle w:val="52"/>
              <w:ind w:firstLine="480"/>
              <w:rPr>
                <w:rFonts w:cs="Times New Roman"/>
                <w:color w:val="auto"/>
                <w:sz w:val="24"/>
              </w:rPr>
            </w:pPr>
            <w:r>
              <w:rPr>
                <w:rFonts w:hint="eastAsia" w:cs="Times New Roman"/>
                <w:color w:val="auto"/>
                <w:sz w:val="24"/>
              </w:rPr>
              <w:t>施工期产生的固体废物主要为建筑工人产生的生活垃圾以及施工建筑垃圾。生活垃圾集中收集，送往环卫部门指定的地点处置；项目产生的建筑垃圾主要为砂、石等普通建筑材料，均为一般工业固体废物，应及时清运至指定地点处置，防止建筑垃圾对外环境的影响。采取以上措施后，本项目施工期产生的固体废物均能无害化处置。</w:t>
            </w:r>
          </w:p>
          <w:p>
            <w:pPr>
              <w:pStyle w:val="52"/>
              <w:ind w:firstLine="480"/>
              <w:rPr>
                <w:rFonts w:cs="Times New Roman"/>
                <w:color w:val="auto"/>
                <w:sz w:val="24"/>
              </w:rPr>
            </w:pPr>
            <w:r>
              <w:rPr>
                <w:rFonts w:hint="eastAsia" w:cs="Times New Roman"/>
                <w:color w:val="auto"/>
                <w:sz w:val="24"/>
              </w:rPr>
              <w:t>五、生态影响</w:t>
            </w:r>
          </w:p>
          <w:p>
            <w:pPr>
              <w:pStyle w:val="52"/>
              <w:ind w:firstLine="480"/>
              <w:rPr>
                <w:rFonts w:cs="Times New Roman"/>
                <w:color w:val="auto"/>
                <w:sz w:val="24"/>
              </w:rPr>
            </w:pPr>
            <w:r>
              <w:rPr>
                <w:rFonts w:hint="eastAsia" w:cs="Times New Roman"/>
                <w:color w:val="auto"/>
                <w:sz w:val="24"/>
              </w:rPr>
              <w:t>根据工程的特点及运行情况，本工程水土流失主要发生在施工期。本工程施工期主要是工程占地、开挖、回填、弃土及材料堆放等原因，可能会破坏项目原有植被，破坏了表土结构，致使土体抗蚀能力降低，土壤侵蚀加剧，导致水土流失增加。施工期应严格落实各项水土保持和生态保护措施，防止施工期发生水土流失。本项目仅在施工期内较短时间内影响土地利用，经过一定恢复期后，项目建设区域内土地利用状况不会发生改变仍可保持原有使用功能。</w:t>
            </w:r>
          </w:p>
        </w:tc>
      </w:tr>
    </w:tbl>
    <w:p>
      <w:pPr>
        <w:pStyle w:val="15"/>
        <w:adjustRightInd w:val="0"/>
        <w:snapToGrid w:val="0"/>
        <w:spacing w:before="0" w:beforeAutospacing="0" w:after="0" w:afterAutospacing="0"/>
        <w:ind w:firstLine="360" w:firstLineChars="100"/>
        <w:outlineLvl w:val="0"/>
        <w:rPr>
          <w:rFonts w:ascii="Times New Roman" w:hAnsi="Times New Roman"/>
          <w:snapToGrid w:val="0"/>
          <w:sz w:val="36"/>
          <w:szCs w:val="36"/>
        </w:rPr>
        <w:sectPr>
          <w:pgSz w:w="11907" w:h="16840"/>
          <w:pgMar w:top="1701" w:right="1531" w:bottom="2127" w:left="1531" w:header="851" w:footer="851" w:gutter="0"/>
          <w:cols w:space="720" w:num="1"/>
          <w:docGrid w:linePitch="312" w:charSpace="0"/>
        </w:sectPr>
      </w:pP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9"/>
        <w:gridCol w:w="135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7" w:hRule="atLeast"/>
          <w:jc w:val="center"/>
        </w:trPr>
        <w:tc>
          <w:tcPr>
            <w:tcW w:w="421" w:type="dxa"/>
            <w:vAlign w:val="center"/>
          </w:tcPr>
          <w:p>
            <w:pPr>
              <w:jc w:val="center"/>
              <w:rPr>
                <w:bCs/>
                <w:sz w:val="24"/>
              </w:rPr>
            </w:pPr>
            <w:r>
              <w:rPr>
                <w:bCs/>
                <w:sz w:val="24"/>
              </w:rPr>
              <w:t>运营期环境影响和保护措施</w:t>
            </w:r>
          </w:p>
        </w:tc>
        <w:tc>
          <w:tcPr>
            <w:tcW w:w="12581" w:type="dxa"/>
          </w:tcPr>
          <w:p>
            <w:pPr>
              <w:pStyle w:val="52"/>
              <w:spacing w:line="500" w:lineRule="exact"/>
              <w:ind w:firstLine="482"/>
              <w:rPr>
                <w:rFonts w:cs="Times New Roman"/>
                <w:b/>
                <w:bCs/>
                <w:color w:val="auto"/>
                <w:sz w:val="24"/>
              </w:rPr>
            </w:pPr>
            <w:r>
              <w:rPr>
                <w:rFonts w:cs="Times New Roman"/>
                <w:b/>
                <w:bCs/>
                <w:color w:val="auto"/>
                <w:sz w:val="24"/>
              </w:rPr>
              <w:t>一、废气环境影响和保护措施</w:t>
            </w:r>
          </w:p>
          <w:p>
            <w:pPr>
              <w:pStyle w:val="52"/>
              <w:spacing w:line="500" w:lineRule="exact"/>
              <w:ind w:firstLine="480"/>
              <w:rPr>
                <w:rFonts w:cs="Times New Roman"/>
                <w:color w:val="auto"/>
                <w:sz w:val="24"/>
              </w:rPr>
            </w:pPr>
            <w:r>
              <w:rPr>
                <w:rFonts w:cs="Times New Roman"/>
                <w:color w:val="auto"/>
                <w:sz w:val="24"/>
              </w:rPr>
              <w:t>项目废气污染源源强核算结果及相关参数一览表见下表。</w:t>
            </w:r>
          </w:p>
          <w:p>
            <w:pPr>
              <w:pStyle w:val="46"/>
              <w:rPr>
                <w:rFonts w:eastAsia="宋体" w:cs="Times New Roman"/>
                <w:b w:val="0"/>
                <w:bCs/>
                <w:szCs w:val="24"/>
              </w:rPr>
            </w:pPr>
            <w:r>
              <w:rPr>
                <w:rFonts w:eastAsia="宋体" w:cs="Times New Roman"/>
                <w:bCs/>
                <w:szCs w:val="24"/>
              </w:rPr>
              <w:t>表4-1</w:t>
            </w:r>
            <w:r>
              <w:rPr>
                <w:rFonts w:hint="eastAsia" w:eastAsia="宋体" w:cs="Times New Roman"/>
                <w:bCs/>
                <w:szCs w:val="24"/>
              </w:rPr>
              <w:t xml:space="preserve"> </w:t>
            </w:r>
            <w:r>
              <w:rPr>
                <w:rFonts w:eastAsia="宋体" w:cs="Times New Roman"/>
                <w:bCs/>
                <w:szCs w:val="24"/>
              </w:rPr>
              <w:t>废气污染源源强核算结果及相关参数一览表</w:t>
            </w:r>
          </w:p>
          <w:tbl>
            <w:tblPr>
              <w:tblStyle w:val="2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6"/>
              <w:gridCol w:w="968"/>
              <w:gridCol w:w="856"/>
              <w:gridCol w:w="756"/>
              <w:gridCol w:w="620"/>
              <w:gridCol w:w="631"/>
              <w:gridCol w:w="783"/>
              <w:gridCol w:w="735"/>
              <w:gridCol w:w="601"/>
              <w:gridCol w:w="1697"/>
              <w:gridCol w:w="602"/>
              <w:gridCol w:w="620"/>
              <w:gridCol w:w="631"/>
              <w:gridCol w:w="783"/>
              <w:gridCol w:w="735"/>
              <w:gridCol w:w="664"/>
              <w:gridCol w:w="7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vMerge w:val="restart"/>
                  <w:vAlign w:val="center"/>
                </w:tcPr>
                <w:p>
                  <w:pPr>
                    <w:kinsoku w:val="0"/>
                    <w:overflowPunct w:val="0"/>
                    <w:autoSpaceDE w:val="0"/>
                    <w:autoSpaceDN w:val="0"/>
                    <w:adjustRightInd w:val="0"/>
                    <w:snapToGrid w:val="0"/>
                    <w:jc w:val="center"/>
                    <w:rPr>
                      <w:kern w:val="0"/>
                      <w:sz w:val="18"/>
                      <w:szCs w:val="18"/>
                    </w:rPr>
                  </w:pPr>
                  <w:r>
                    <w:rPr>
                      <w:kern w:val="0"/>
                      <w:sz w:val="18"/>
                      <w:szCs w:val="18"/>
                    </w:rPr>
                    <w:t>工序/生产线</w:t>
                  </w:r>
                </w:p>
              </w:tc>
              <w:tc>
                <w:tcPr>
                  <w:tcW w:w="0" w:type="auto"/>
                  <w:vMerge w:val="restart"/>
                  <w:vAlign w:val="center"/>
                </w:tcPr>
                <w:p>
                  <w:pPr>
                    <w:kinsoku w:val="0"/>
                    <w:overflowPunct w:val="0"/>
                    <w:autoSpaceDE w:val="0"/>
                    <w:autoSpaceDN w:val="0"/>
                    <w:adjustRightInd w:val="0"/>
                    <w:snapToGrid w:val="0"/>
                    <w:jc w:val="center"/>
                    <w:rPr>
                      <w:kern w:val="0"/>
                      <w:sz w:val="18"/>
                      <w:szCs w:val="18"/>
                    </w:rPr>
                  </w:pPr>
                  <w:r>
                    <w:rPr>
                      <w:kern w:val="0"/>
                      <w:sz w:val="18"/>
                      <w:szCs w:val="18"/>
                    </w:rPr>
                    <w:t>装置</w:t>
                  </w:r>
                </w:p>
              </w:tc>
              <w:tc>
                <w:tcPr>
                  <w:tcW w:w="0" w:type="auto"/>
                  <w:vMerge w:val="restart"/>
                  <w:vAlign w:val="center"/>
                </w:tcPr>
                <w:p>
                  <w:pPr>
                    <w:kinsoku w:val="0"/>
                    <w:overflowPunct w:val="0"/>
                    <w:autoSpaceDE w:val="0"/>
                    <w:autoSpaceDN w:val="0"/>
                    <w:adjustRightInd w:val="0"/>
                    <w:snapToGrid w:val="0"/>
                    <w:jc w:val="center"/>
                    <w:rPr>
                      <w:kern w:val="0"/>
                      <w:sz w:val="18"/>
                      <w:szCs w:val="18"/>
                    </w:rPr>
                  </w:pPr>
                  <w:r>
                    <w:rPr>
                      <w:kern w:val="0"/>
                      <w:sz w:val="18"/>
                      <w:szCs w:val="18"/>
                    </w:rPr>
                    <w:t>污染源</w:t>
                  </w:r>
                </w:p>
              </w:tc>
              <w:tc>
                <w:tcPr>
                  <w:tcW w:w="0" w:type="auto"/>
                  <w:vMerge w:val="restart"/>
                  <w:vAlign w:val="center"/>
                </w:tcPr>
                <w:p>
                  <w:pPr>
                    <w:kinsoku w:val="0"/>
                    <w:overflowPunct w:val="0"/>
                    <w:autoSpaceDE w:val="0"/>
                    <w:autoSpaceDN w:val="0"/>
                    <w:adjustRightInd w:val="0"/>
                    <w:snapToGrid w:val="0"/>
                    <w:jc w:val="center"/>
                    <w:rPr>
                      <w:kern w:val="0"/>
                      <w:sz w:val="18"/>
                      <w:szCs w:val="18"/>
                    </w:rPr>
                  </w:pPr>
                  <w:r>
                    <w:rPr>
                      <w:kern w:val="0"/>
                      <w:sz w:val="18"/>
                      <w:szCs w:val="18"/>
                    </w:rPr>
                    <w:t>污染物</w:t>
                  </w:r>
                </w:p>
              </w:tc>
              <w:tc>
                <w:tcPr>
                  <w:tcW w:w="0" w:type="auto"/>
                  <w:gridSpan w:val="5"/>
                  <w:vAlign w:val="center"/>
                </w:tcPr>
                <w:p>
                  <w:pPr>
                    <w:kinsoku w:val="0"/>
                    <w:overflowPunct w:val="0"/>
                    <w:autoSpaceDE w:val="0"/>
                    <w:autoSpaceDN w:val="0"/>
                    <w:adjustRightInd w:val="0"/>
                    <w:snapToGrid w:val="0"/>
                    <w:jc w:val="center"/>
                    <w:rPr>
                      <w:kern w:val="0"/>
                      <w:sz w:val="18"/>
                      <w:szCs w:val="18"/>
                    </w:rPr>
                  </w:pPr>
                  <w:r>
                    <w:rPr>
                      <w:kern w:val="0"/>
                      <w:sz w:val="18"/>
                      <w:szCs w:val="18"/>
                    </w:rPr>
                    <w:t>污染物产生</w:t>
                  </w:r>
                </w:p>
              </w:tc>
              <w:tc>
                <w:tcPr>
                  <w:tcW w:w="0" w:type="auto"/>
                  <w:gridSpan w:val="2"/>
                  <w:vAlign w:val="center"/>
                </w:tcPr>
                <w:p>
                  <w:pPr>
                    <w:kinsoku w:val="0"/>
                    <w:overflowPunct w:val="0"/>
                    <w:autoSpaceDE w:val="0"/>
                    <w:autoSpaceDN w:val="0"/>
                    <w:adjustRightInd w:val="0"/>
                    <w:snapToGrid w:val="0"/>
                    <w:jc w:val="center"/>
                    <w:rPr>
                      <w:kern w:val="0"/>
                      <w:sz w:val="18"/>
                      <w:szCs w:val="18"/>
                    </w:rPr>
                  </w:pPr>
                  <w:r>
                    <w:rPr>
                      <w:kern w:val="0"/>
                      <w:sz w:val="18"/>
                      <w:szCs w:val="18"/>
                    </w:rPr>
                    <w:t>治理措施</w:t>
                  </w:r>
                </w:p>
              </w:tc>
              <w:tc>
                <w:tcPr>
                  <w:tcW w:w="0" w:type="auto"/>
                  <w:gridSpan w:val="5"/>
                  <w:vAlign w:val="center"/>
                </w:tcPr>
                <w:p>
                  <w:pPr>
                    <w:kinsoku w:val="0"/>
                    <w:overflowPunct w:val="0"/>
                    <w:autoSpaceDE w:val="0"/>
                    <w:autoSpaceDN w:val="0"/>
                    <w:adjustRightInd w:val="0"/>
                    <w:snapToGrid w:val="0"/>
                    <w:jc w:val="center"/>
                    <w:rPr>
                      <w:kern w:val="0"/>
                      <w:sz w:val="18"/>
                      <w:szCs w:val="18"/>
                    </w:rPr>
                  </w:pPr>
                  <w:r>
                    <w:rPr>
                      <w:kern w:val="0"/>
                      <w:sz w:val="18"/>
                      <w:szCs w:val="18"/>
                    </w:rPr>
                    <w:t>污染物排放</w:t>
                  </w:r>
                </w:p>
              </w:tc>
              <w:tc>
                <w:tcPr>
                  <w:tcW w:w="0" w:type="auto"/>
                  <w:vMerge w:val="restart"/>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运行时间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4" w:hRule="atLeast"/>
                <w:jc w:val="center"/>
              </w:trPr>
              <w:tc>
                <w:tcPr>
                  <w:tcW w:w="0" w:type="auto"/>
                  <w:vMerge w:val="continue"/>
                  <w:vAlign w:val="center"/>
                </w:tcPr>
                <w:p>
                  <w:pPr>
                    <w:kinsoku w:val="0"/>
                    <w:overflowPunct w:val="0"/>
                    <w:autoSpaceDE w:val="0"/>
                    <w:autoSpaceDN w:val="0"/>
                    <w:adjustRightInd w:val="0"/>
                    <w:snapToGrid w:val="0"/>
                    <w:jc w:val="left"/>
                    <w:rPr>
                      <w:kern w:val="0"/>
                      <w:sz w:val="18"/>
                      <w:szCs w:val="18"/>
                    </w:rPr>
                  </w:pPr>
                </w:p>
              </w:tc>
              <w:tc>
                <w:tcPr>
                  <w:tcW w:w="0" w:type="auto"/>
                  <w:vMerge w:val="continue"/>
                  <w:vAlign w:val="center"/>
                </w:tcPr>
                <w:p>
                  <w:pPr>
                    <w:kinsoku w:val="0"/>
                    <w:overflowPunct w:val="0"/>
                    <w:autoSpaceDE w:val="0"/>
                    <w:autoSpaceDN w:val="0"/>
                    <w:adjustRightInd w:val="0"/>
                    <w:snapToGrid w:val="0"/>
                    <w:jc w:val="left"/>
                    <w:rPr>
                      <w:kern w:val="0"/>
                      <w:sz w:val="18"/>
                      <w:szCs w:val="18"/>
                    </w:rPr>
                  </w:pPr>
                </w:p>
              </w:tc>
              <w:tc>
                <w:tcPr>
                  <w:tcW w:w="0" w:type="auto"/>
                  <w:vMerge w:val="continue"/>
                  <w:vAlign w:val="center"/>
                </w:tcPr>
                <w:p>
                  <w:pPr>
                    <w:kinsoku w:val="0"/>
                    <w:overflowPunct w:val="0"/>
                    <w:autoSpaceDE w:val="0"/>
                    <w:autoSpaceDN w:val="0"/>
                    <w:adjustRightInd w:val="0"/>
                    <w:snapToGrid w:val="0"/>
                    <w:jc w:val="left"/>
                    <w:rPr>
                      <w:kern w:val="0"/>
                      <w:sz w:val="18"/>
                      <w:szCs w:val="18"/>
                    </w:rPr>
                  </w:pPr>
                </w:p>
              </w:tc>
              <w:tc>
                <w:tcPr>
                  <w:tcW w:w="0" w:type="auto"/>
                  <w:vMerge w:val="continue"/>
                  <w:vAlign w:val="center"/>
                </w:tcPr>
                <w:p>
                  <w:pPr>
                    <w:kinsoku w:val="0"/>
                    <w:overflowPunct w:val="0"/>
                    <w:autoSpaceDE w:val="0"/>
                    <w:autoSpaceDN w:val="0"/>
                    <w:adjustRightInd w:val="0"/>
                    <w:snapToGrid w:val="0"/>
                    <w:jc w:val="left"/>
                    <w:rPr>
                      <w:kern w:val="0"/>
                      <w:sz w:val="18"/>
                      <w:szCs w:val="18"/>
                    </w:rPr>
                  </w:pPr>
                </w:p>
              </w:tc>
              <w:tc>
                <w:tcPr>
                  <w:tcW w:w="0" w:type="auto"/>
                  <w:vAlign w:val="center"/>
                </w:tcPr>
                <w:p>
                  <w:pPr>
                    <w:kinsoku w:val="0"/>
                    <w:overflowPunct w:val="0"/>
                    <w:autoSpaceDE w:val="0"/>
                    <w:autoSpaceDN w:val="0"/>
                    <w:adjustRightInd w:val="0"/>
                    <w:snapToGrid w:val="0"/>
                    <w:jc w:val="center"/>
                    <w:rPr>
                      <w:kern w:val="0"/>
                      <w:sz w:val="18"/>
                      <w:szCs w:val="18"/>
                    </w:rPr>
                  </w:pPr>
                  <w:r>
                    <w:rPr>
                      <w:kern w:val="0"/>
                      <w:sz w:val="18"/>
                      <w:szCs w:val="18"/>
                    </w:rPr>
                    <w:t>核算方法</w:t>
                  </w:r>
                </w:p>
              </w:tc>
              <w:tc>
                <w:tcPr>
                  <w:tcW w:w="0" w:type="auto"/>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废气量</w:t>
                  </w:r>
                  <w:r>
                    <w:rPr>
                      <w:kern w:val="0"/>
                      <w:sz w:val="18"/>
                      <w:szCs w:val="18"/>
                    </w:rPr>
                    <w:t>/</w:t>
                  </w:r>
                </w:p>
                <w:p>
                  <w:pPr>
                    <w:kinsoku w:val="0"/>
                    <w:overflowPunct w:val="0"/>
                    <w:autoSpaceDE w:val="0"/>
                    <w:autoSpaceDN w:val="0"/>
                    <w:adjustRightInd w:val="0"/>
                    <w:snapToGrid w:val="0"/>
                    <w:jc w:val="center"/>
                    <w:rPr>
                      <w:kern w:val="0"/>
                      <w:sz w:val="18"/>
                      <w:szCs w:val="18"/>
                    </w:rPr>
                  </w:pPr>
                  <w:r>
                    <w:rPr>
                      <w:kern w:val="0"/>
                      <w:sz w:val="18"/>
                      <w:szCs w:val="18"/>
                    </w:rPr>
                    <w:t>m</w:t>
                  </w:r>
                  <w:r>
                    <w:rPr>
                      <w:kern w:val="0"/>
                      <w:sz w:val="18"/>
                      <w:szCs w:val="18"/>
                      <w:vertAlign w:val="superscript"/>
                    </w:rPr>
                    <w:t>3</w:t>
                  </w:r>
                  <w:r>
                    <w:rPr>
                      <w:kern w:val="0"/>
                      <w:sz w:val="18"/>
                      <w:szCs w:val="18"/>
                    </w:rPr>
                    <w:t>/h</w:t>
                  </w:r>
                </w:p>
              </w:tc>
              <w:tc>
                <w:tcPr>
                  <w:tcW w:w="0" w:type="auto"/>
                  <w:vAlign w:val="center"/>
                </w:tcPr>
                <w:p>
                  <w:pPr>
                    <w:kinsoku w:val="0"/>
                    <w:overflowPunct w:val="0"/>
                    <w:autoSpaceDE w:val="0"/>
                    <w:autoSpaceDN w:val="0"/>
                    <w:adjustRightInd w:val="0"/>
                    <w:snapToGrid w:val="0"/>
                    <w:jc w:val="center"/>
                    <w:rPr>
                      <w:kern w:val="0"/>
                      <w:sz w:val="18"/>
                      <w:szCs w:val="18"/>
                    </w:rPr>
                  </w:pPr>
                  <w:r>
                    <w:rPr>
                      <w:kern w:val="0"/>
                      <w:sz w:val="18"/>
                      <w:szCs w:val="18"/>
                    </w:rPr>
                    <w:t>质量浓度/</w:t>
                  </w:r>
                </w:p>
                <w:p>
                  <w:pPr>
                    <w:kinsoku w:val="0"/>
                    <w:overflowPunct w:val="0"/>
                    <w:autoSpaceDE w:val="0"/>
                    <w:autoSpaceDN w:val="0"/>
                    <w:adjustRightInd w:val="0"/>
                    <w:snapToGrid w:val="0"/>
                    <w:jc w:val="center"/>
                    <w:rPr>
                      <w:kern w:val="0"/>
                      <w:sz w:val="18"/>
                      <w:szCs w:val="18"/>
                    </w:rPr>
                  </w:pPr>
                  <w:r>
                    <w:rPr>
                      <w:kern w:val="0"/>
                      <w:sz w:val="18"/>
                      <w:szCs w:val="18"/>
                    </w:rPr>
                    <w:t>mg/m</w:t>
                  </w:r>
                  <w:r>
                    <w:rPr>
                      <w:kern w:val="0"/>
                      <w:sz w:val="18"/>
                      <w:szCs w:val="18"/>
                      <w:vertAlign w:val="superscript"/>
                    </w:rPr>
                    <w:t>3</w:t>
                  </w:r>
                </w:p>
              </w:tc>
              <w:tc>
                <w:tcPr>
                  <w:tcW w:w="0" w:type="auto"/>
                  <w:vAlign w:val="center"/>
                </w:tcPr>
                <w:p>
                  <w:pPr>
                    <w:kinsoku w:val="0"/>
                    <w:overflowPunct w:val="0"/>
                    <w:autoSpaceDE w:val="0"/>
                    <w:autoSpaceDN w:val="0"/>
                    <w:adjustRightInd w:val="0"/>
                    <w:snapToGrid w:val="0"/>
                    <w:jc w:val="center"/>
                    <w:rPr>
                      <w:kern w:val="0"/>
                      <w:sz w:val="18"/>
                      <w:szCs w:val="18"/>
                    </w:rPr>
                  </w:pPr>
                  <w:r>
                    <w:rPr>
                      <w:kern w:val="0"/>
                      <w:sz w:val="18"/>
                      <w:szCs w:val="18"/>
                    </w:rPr>
                    <w:t>产生速率/</w:t>
                  </w:r>
                </w:p>
                <w:p>
                  <w:pPr>
                    <w:kinsoku w:val="0"/>
                    <w:overflowPunct w:val="0"/>
                    <w:autoSpaceDE w:val="0"/>
                    <w:autoSpaceDN w:val="0"/>
                    <w:adjustRightInd w:val="0"/>
                    <w:snapToGrid w:val="0"/>
                    <w:jc w:val="center"/>
                    <w:rPr>
                      <w:kern w:val="0"/>
                      <w:sz w:val="18"/>
                      <w:szCs w:val="18"/>
                    </w:rPr>
                  </w:pPr>
                  <w:r>
                    <w:rPr>
                      <w:kern w:val="0"/>
                      <w:sz w:val="18"/>
                      <w:szCs w:val="18"/>
                    </w:rPr>
                    <w:t>kg/h</w:t>
                  </w:r>
                </w:p>
              </w:tc>
              <w:tc>
                <w:tcPr>
                  <w:tcW w:w="0" w:type="auto"/>
                  <w:vAlign w:val="center"/>
                </w:tcPr>
                <w:p>
                  <w:pPr>
                    <w:kinsoku w:val="0"/>
                    <w:overflowPunct w:val="0"/>
                    <w:autoSpaceDE w:val="0"/>
                    <w:autoSpaceDN w:val="0"/>
                    <w:adjustRightInd w:val="0"/>
                    <w:snapToGrid w:val="0"/>
                    <w:jc w:val="center"/>
                    <w:rPr>
                      <w:kern w:val="0"/>
                      <w:sz w:val="18"/>
                      <w:szCs w:val="18"/>
                    </w:rPr>
                  </w:pPr>
                  <w:r>
                    <w:rPr>
                      <w:kern w:val="0"/>
                      <w:sz w:val="18"/>
                      <w:szCs w:val="18"/>
                    </w:rPr>
                    <w:t>产生量</w:t>
                  </w:r>
                </w:p>
                <w:p>
                  <w:pPr>
                    <w:kinsoku w:val="0"/>
                    <w:overflowPunct w:val="0"/>
                    <w:autoSpaceDE w:val="0"/>
                    <w:autoSpaceDN w:val="0"/>
                    <w:adjustRightInd w:val="0"/>
                    <w:snapToGrid w:val="0"/>
                    <w:jc w:val="center"/>
                    <w:rPr>
                      <w:kern w:val="0"/>
                      <w:sz w:val="18"/>
                      <w:szCs w:val="18"/>
                    </w:rPr>
                  </w:pPr>
                  <w:r>
                    <w:rPr>
                      <w:kern w:val="0"/>
                      <w:sz w:val="18"/>
                      <w:szCs w:val="18"/>
                    </w:rPr>
                    <w:t>t/a</w:t>
                  </w:r>
                </w:p>
              </w:tc>
              <w:tc>
                <w:tcPr>
                  <w:tcW w:w="0" w:type="auto"/>
                  <w:vAlign w:val="center"/>
                </w:tcPr>
                <w:p>
                  <w:pPr>
                    <w:kinsoku w:val="0"/>
                    <w:overflowPunct w:val="0"/>
                    <w:autoSpaceDE w:val="0"/>
                    <w:autoSpaceDN w:val="0"/>
                    <w:adjustRightInd w:val="0"/>
                    <w:snapToGrid w:val="0"/>
                    <w:jc w:val="center"/>
                    <w:rPr>
                      <w:kern w:val="0"/>
                      <w:sz w:val="18"/>
                      <w:szCs w:val="18"/>
                    </w:rPr>
                  </w:pPr>
                  <w:r>
                    <w:rPr>
                      <w:kern w:val="0"/>
                      <w:sz w:val="18"/>
                      <w:szCs w:val="18"/>
                    </w:rPr>
                    <w:t>工艺</w:t>
                  </w:r>
                </w:p>
              </w:tc>
              <w:tc>
                <w:tcPr>
                  <w:tcW w:w="0" w:type="auto"/>
                  <w:vAlign w:val="center"/>
                </w:tcPr>
                <w:p>
                  <w:pPr>
                    <w:kinsoku w:val="0"/>
                    <w:overflowPunct w:val="0"/>
                    <w:autoSpaceDE w:val="0"/>
                    <w:autoSpaceDN w:val="0"/>
                    <w:adjustRightInd w:val="0"/>
                    <w:snapToGrid w:val="0"/>
                    <w:jc w:val="center"/>
                    <w:rPr>
                      <w:kern w:val="0"/>
                      <w:sz w:val="18"/>
                      <w:szCs w:val="18"/>
                    </w:rPr>
                  </w:pPr>
                  <w:r>
                    <w:rPr>
                      <w:kern w:val="0"/>
                      <w:sz w:val="18"/>
                      <w:szCs w:val="18"/>
                    </w:rPr>
                    <w:t>效率%</w:t>
                  </w:r>
                </w:p>
              </w:tc>
              <w:tc>
                <w:tcPr>
                  <w:tcW w:w="0" w:type="auto"/>
                  <w:vAlign w:val="center"/>
                </w:tcPr>
                <w:p>
                  <w:pPr>
                    <w:kinsoku w:val="0"/>
                    <w:overflowPunct w:val="0"/>
                    <w:autoSpaceDE w:val="0"/>
                    <w:autoSpaceDN w:val="0"/>
                    <w:adjustRightInd w:val="0"/>
                    <w:snapToGrid w:val="0"/>
                    <w:jc w:val="center"/>
                    <w:rPr>
                      <w:kern w:val="0"/>
                      <w:sz w:val="18"/>
                      <w:szCs w:val="18"/>
                    </w:rPr>
                  </w:pPr>
                  <w:r>
                    <w:rPr>
                      <w:kern w:val="0"/>
                      <w:sz w:val="18"/>
                      <w:szCs w:val="18"/>
                    </w:rPr>
                    <w:t>核算方法</w:t>
                  </w:r>
                </w:p>
              </w:tc>
              <w:tc>
                <w:tcPr>
                  <w:tcW w:w="0" w:type="auto"/>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废气量</w:t>
                  </w:r>
                  <w:r>
                    <w:rPr>
                      <w:kern w:val="0"/>
                      <w:sz w:val="18"/>
                      <w:szCs w:val="18"/>
                    </w:rPr>
                    <w:t>/</w:t>
                  </w:r>
                </w:p>
                <w:p>
                  <w:pPr>
                    <w:kinsoku w:val="0"/>
                    <w:overflowPunct w:val="0"/>
                    <w:autoSpaceDE w:val="0"/>
                    <w:autoSpaceDN w:val="0"/>
                    <w:adjustRightInd w:val="0"/>
                    <w:snapToGrid w:val="0"/>
                    <w:jc w:val="center"/>
                    <w:rPr>
                      <w:kern w:val="0"/>
                      <w:sz w:val="18"/>
                      <w:szCs w:val="18"/>
                    </w:rPr>
                  </w:pPr>
                  <w:r>
                    <w:rPr>
                      <w:kern w:val="0"/>
                      <w:sz w:val="18"/>
                      <w:szCs w:val="18"/>
                    </w:rPr>
                    <w:t>m</w:t>
                  </w:r>
                  <w:r>
                    <w:rPr>
                      <w:kern w:val="0"/>
                      <w:sz w:val="18"/>
                      <w:szCs w:val="18"/>
                      <w:vertAlign w:val="superscript"/>
                    </w:rPr>
                    <w:t>3</w:t>
                  </w:r>
                  <w:r>
                    <w:rPr>
                      <w:kern w:val="0"/>
                      <w:sz w:val="18"/>
                      <w:szCs w:val="18"/>
                    </w:rPr>
                    <w:t>/h</w:t>
                  </w:r>
                </w:p>
              </w:tc>
              <w:tc>
                <w:tcPr>
                  <w:tcW w:w="0" w:type="auto"/>
                  <w:vAlign w:val="center"/>
                </w:tcPr>
                <w:p>
                  <w:pPr>
                    <w:kinsoku w:val="0"/>
                    <w:overflowPunct w:val="0"/>
                    <w:autoSpaceDE w:val="0"/>
                    <w:autoSpaceDN w:val="0"/>
                    <w:adjustRightInd w:val="0"/>
                    <w:snapToGrid w:val="0"/>
                    <w:jc w:val="center"/>
                    <w:rPr>
                      <w:kern w:val="0"/>
                      <w:sz w:val="18"/>
                      <w:szCs w:val="18"/>
                    </w:rPr>
                  </w:pPr>
                  <w:r>
                    <w:rPr>
                      <w:kern w:val="0"/>
                      <w:sz w:val="18"/>
                      <w:szCs w:val="18"/>
                    </w:rPr>
                    <w:t>质量浓度/</w:t>
                  </w:r>
                </w:p>
                <w:p>
                  <w:pPr>
                    <w:kinsoku w:val="0"/>
                    <w:overflowPunct w:val="0"/>
                    <w:autoSpaceDE w:val="0"/>
                    <w:autoSpaceDN w:val="0"/>
                    <w:adjustRightInd w:val="0"/>
                    <w:snapToGrid w:val="0"/>
                    <w:jc w:val="center"/>
                    <w:rPr>
                      <w:kern w:val="0"/>
                      <w:sz w:val="18"/>
                      <w:szCs w:val="18"/>
                    </w:rPr>
                  </w:pPr>
                  <w:r>
                    <w:rPr>
                      <w:kern w:val="0"/>
                      <w:sz w:val="18"/>
                      <w:szCs w:val="18"/>
                    </w:rPr>
                    <w:t>mg/m</w:t>
                  </w:r>
                  <w:r>
                    <w:rPr>
                      <w:kern w:val="0"/>
                      <w:sz w:val="18"/>
                      <w:szCs w:val="18"/>
                      <w:vertAlign w:val="superscript"/>
                    </w:rPr>
                    <w:t>3</w:t>
                  </w:r>
                </w:p>
              </w:tc>
              <w:tc>
                <w:tcPr>
                  <w:tcW w:w="0" w:type="auto"/>
                  <w:vAlign w:val="center"/>
                </w:tcPr>
                <w:p>
                  <w:pPr>
                    <w:kinsoku w:val="0"/>
                    <w:overflowPunct w:val="0"/>
                    <w:autoSpaceDE w:val="0"/>
                    <w:autoSpaceDN w:val="0"/>
                    <w:adjustRightInd w:val="0"/>
                    <w:snapToGrid w:val="0"/>
                    <w:jc w:val="center"/>
                    <w:rPr>
                      <w:kern w:val="0"/>
                      <w:sz w:val="18"/>
                      <w:szCs w:val="18"/>
                    </w:rPr>
                  </w:pPr>
                  <w:r>
                    <w:rPr>
                      <w:kern w:val="0"/>
                      <w:sz w:val="18"/>
                      <w:szCs w:val="18"/>
                    </w:rPr>
                    <w:t>排放速率/</w:t>
                  </w:r>
                </w:p>
                <w:p>
                  <w:pPr>
                    <w:kinsoku w:val="0"/>
                    <w:overflowPunct w:val="0"/>
                    <w:autoSpaceDE w:val="0"/>
                    <w:autoSpaceDN w:val="0"/>
                    <w:adjustRightInd w:val="0"/>
                    <w:snapToGrid w:val="0"/>
                    <w:jc w:val="center"/>
                    <w:rPr>
                      <w:kern w:val="0"/>
                      <w:sz w:val="18"/>
                      <w:szCs w:val="18"/>
                    </w:rPr>
                  </w:pPr>
                  <w:r>
                    <w:rPr>
                      <w:kern w:val="0"/>
                      <w:sz w:val="18"/>
                      <w:szCs w:val="18"/>
                    </w:rPr>
                    <w:t>kg/h</w:t>
                  </w:r>
                </w:p>
              </w:tc>
              <w:tc>
                <w:tcPr>
                  <w:tcW w:w="0" w:type="auto"/>
                  <w:vAlign w:val="center"/>
                </w:tcPr>
                <w:p>
                  <w:pPr>
                    <w:kinsoku w:val="0"/>
                    <w:overflowPunct w:val="0"/>
                    <w:autoSpaceDE w:val="0"/>
                    <w:autoSpaceDN w:val="0"/>
                    <w:adjustRightInd w:val="0"/>
                    <w:snapToGrid w:val="0"/>
                    <w:jc w:val="center"/>
                    <w:rPr>
                      <w:kern w:val="0"/>
                      <w:sz w:val="18"/>
                      <w:szCs w:val="18"/>
                    </w:rPr>
                  </w:pPr>
                  <w:r>
                    <w:rPr>
                      <w:kern w:val="0"/>
                      <w:sz w:val="18"/>
                      <w:szCs w:val="18"/>
                    </w:rPr>
                    <w:t>产生量</w:t>
                  </w:r>
                </w:p>
                <w:p>
                  <w:pPr>
                    <w:kinsoku w:val="0"/>
                    <w:overflowPunct w:val="0"/>
                    <w:autoSpaceDE w:val="0"/>
                    <w:autoSpaceDN w:val="0"/>
                    <w:adjustRightInd w:val="0"/>
                    <w:snapToGrid w:val="0"/>
                    <w:jc w:val="center"/>
                    <w:rPr>
                      <w:kern w:val="0"/>
                      <w:sz w:val="18"/>
                      <w:szCs w:val="18"/>
                    </w:rPr>
                  </w:pPr>
                  <w:r>
                    <w:rPr>
                      <w:kern w:val="0"/>
                      <w:sz w:val="18"/>
                      <w:szCs w:val="18"/>
                    </w:rPr>
                    <w:t>t/a</w:t>
                  </w:r>
                </w:p>
              </w:tc>
              <w:tc>
                <w:tcPr>
                  <w:tcW w:w="0" w:type="auto"/>
                  <w:vMerge w:val="continue"/>
                </w:tcPr>
                <w:p>
                  <w:pPr>
                    <w:kinsoku w:val="0"/>
                    <w:overflowPunct w:val="0"/>
                    <w:autoSpaceDE w:val="0"/>
                    <w:autoSpaceDN w:val="0"/>
                    <w:adjustRightInd w:val="0"/>
                    <w:snapToGrid w:val="0"/>
                    <w:jc w:val="center"/>
                    <w:rPr>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6" w:hRule="atLeast"/>
                <w:jc w:val="center"/>
              </w:trPr>
              <w:tc>
                <w:tcPr>
                  <w:tcW w:w="0" w:type="auto"/>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物料堆放、装卸</w:t>
                  </w:r>
                </w:p>
              </w:tc>
              <w:tc>
                <w:tcPr>
                  <w:tcW w:w="0" w:type="auto"/>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物料堆放、装卸</w:t>
                  </w:r>
                </w:p>
              </w:tc>
              <w:tc>
                <w:tcPr>
                  <w:tcW w:w="0" w:type="auto"/>
                  <w:vAlign w:val="center"/>
                </w:tcPr>
                <w:p>
                  <w:pPr>
                    <w:kinsoku w:val="0"/>
                    <w:overflowPunct w:val="0"/>
                    <w:autoSpaceDE w:val="0"/>
                    <w:autoSpaceDN w:val="0"/>
                    <w:adjustRightInd w:val="0"/>
                    <w:snapToGrid w:val="0"/>
                    <w:jc w:val="center"/>
                    <w:rPr>
                      <w:kern w:val="0"/>
                      <w:sz w:val="18"/>
                      <w:szCs w:val="18"/>
                    </w:rPr>
                  </w:pPr>
                  <w:r>
                    <w:rPr>
                      <w:rFonts w:hint="eastAsia"/>
                      <w:sz w:val="18"/>
                      <w:szCs w:val="18"/>
                    </w:rPr>
                    <w:t>物料堆放、装卸</w:t>
                  </w:r>
                </w:p>
              </w:tc>
              <w:tc>
                <w:tcPr>
                  <w:tcW w:w="0" w:type="auto"/>
                  <w:noWrap/>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颗粒物</w:t>
                  </w:r>
                </w:p>
              </w:tc>
              <w:tc>
                <w:tcPr>
                  <w:tcW w:w="0" w:type="auto"/>
                  <w:vMerge w:val="restart"/>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产污系数法</w:t>
                  </w:r>
                </w:p>
              </w:tc>
              <w:tc>
                <w:tcPr>
                  <w:tcW w:w="0" w:type="auto"/>
                  <w:noWrap/>
                  <w:vAlign w:val="center"/>
                </w:tcPr>
                <w:p>
                  <w:pPr>
                    <w:kinsoku w:val="0"/>
                    <w:overflowPunct w:val="0"/>
                    <w:autoSpaceDE w:val="0"/>
                    <w:autoSpaceDN w:val="0"/>
                    <w:adjustRightInd w:val="0"/>
                    <w:snapToGrid w:val="0"/>
                    <w:jc w:val="center"/>
                    <w:rPr>
                      <w:kern w:val="0"/>
                      <w:sz w:val="18"/>
                      <w:szCs w:val="18"/>
                    </w:rPr>
                  </w:pPr>
                  <w:r>
                    <w:rPr>
                      <w:rFonts w:hint="eastAsia" w:eastAsia="等线"/>
                      <w:sz w:val="18"/>
                      <w:szCs w:val="18"/>
                    </w:rPr>
                    <w:t>/</w:t>
                  </w:r>
                </w:p>
              </w:tc>
              <w:tc>
                <w:tcPr>
                  <w:tcW w:w="0" w:type="auto"/>
                  <w:noWrap/>
                  <w:vAlign w:val="center"/>
                </w:tcPr>
                <w:p>
                  <w:pPr>
                    <w:kinsoku w:val="0"/>
                    <w:overflowPunct w:val="0"/>
                    <w:autoSpaceDE w:val="0"/>
                    <w:autoSpaceDN w:val="0"/>
                    <w:adjustRightInd w:val="0"/>
                    <w:snapToGrid w:val="0"/>
                    <w:jc w:val="center"/>
                    <w:rPr>
                      <w:kern w:val="0"/>
                      <w:sz w:val="18"/>
                      <w:szCs w:val="18"/>
                    </w:rPr>
                  </w:pPr>
                  <w:r>
                    <w:rPr>
                      <w:rFonts w:hint="eastAsia" w:eastAsia="等线"/>
                      <w:sz w:val="18"/>
                      <w:szCs w:val="18"/>
                    </w:rPr>
                    <w:t>/</w:t>
                  </w:r>
                </w:p>
              </w:tc>
              <w:tc>
                <w:tcPr>
                  <w:tcW w:w="0" w:type="auto"/>
                  <w:noWrap/>
                  <w:vAlign w:val="center"/>
                </w:tcPr>
                <w:p>
                  <w:pPr>
                    <w:kinsoku w:val="0"/>
                    <w:overflowPunct w:val="0"/>
                    <w:autoSpaceDE w:val="0"/>
                    <w:autoSpaceDN w:val="0"/>
                    <w:adjustRightInd w:val="0"/>
                    <w:snapToGrid w:val="0"/>
                    <w:jc w:val="center"/>
                    <w:rPr>
                      <w:kern w:val="0"/>
                      <w:sz w:val="18"/>
                      <w:szCs w:val="18"/>
                    </w:rPr>
                  </w:pPr>
                  <w:r>
                    <w:rPr>
                      <w:rFonts w:hint="eastAsia" w:eastAsia="等线"/>
                      <w:sz w:val="18"/>
                      <w:szCs w:val="18"/>
                    </w:rPr>
                    <w:t>/</w:t>
                  </w:r>
                </w:p>
              </w:tc>
              <w:tc>
                <w:tcPr>
                  <w:tcW w:w="0" w:type="auto"/>
                  <w:vAlign w:val="center"/>
                </w:tcPr>
                <w:p>
                  <w:pPr>
                    <w:kinsoku w:val="0"/>
                    <w:overflowPunct w:val="0"/>
                    <w:autoSpaceDE w:val="0"/>
                    <w:autoSpaceDN w:val="0"/>
                    <w:adjustRightInd w:val="0"/>
                    <w:snapToGrid w:val="0"/>
                    <w:jc w:val="center"/>
                    <w:rPr>
                      <w:kern w:val="0"/>
                      <w:sz w:val="18"/>
                      <w:szCs w:val="18"/>
                    </w:rPr>
                  </w:pPr>
                  <w:r>
                    <w:rPr>
                      <w:rFonts w:hint="eastAsia" w:eastAsia="等线"/>
                      <w:sz w:val="18"/>
                      <w:szCs w:val="18"/>
                    </w:rPr>
                    <w:t>/</w:t>
                  </w:r>
                </w:p>
              </w:tc>
              <w:tc>
                <w:tcPr>
                  <w:tcW w:w="0" w:type="auto"/>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全封闭厂房、场地硬化、设置喷淋设施等措施</w:t>
                  </w:r>
                </w:p>
              </w:tc>
              <w:tc>
                <w:tcPr>
                  <w:tcW w:w="0" w:type="auto"/>
                  <w:noWrap/>
                  <w:vAlign w:val="center"/>
                </w:tcPr>
                <w:p>
                  <w:pPr>
                    <w:kinsoku w:val="0"/>
                    <w:overflowPunct w:val="0"/>
                    <w:autoSpaceDE w:val="0"/>
                    <w:autoSpaceDN w:val="0"/>
                    <w:adjustRightInd w:val="0"/>
                    <w:snapToGrid w:val="0"/>
                    <w:jc w:val="center"/>
                    <w:rPr>
                      <w:kern w:val="0"/>
                      <w:sz w:val="18"/>
                      <w:szCs w:val="18"/>
                    </w:rPr>
                  </w:pPr>
                  <w:r>
                    <w:rPr>
                      <w:kern w:val="0"/>
                      <w:sz w:val="18"/>
                      <w:szCs w:val="18"/>
                    </w:rPr>
                    <w:t>/</w:t>
                  </w:r>
                </w:p>
              </w:tc>
              <w:tc>
                <w:tcPr>
                  <w:tcW w:w="0" w:type="auto"/>
                  <w:vMerge w:val="restart"/>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产污系数法</w:t>
                  </w:r>
                </w:p>
              </w:tc>
              <w:tc>
                <w:tcPr>
                  <w:tcW w:w="0" w:type="auto"/>
                  <w:noWrap/>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w:t>
                  </w:r>
                </w:p>
              </w:tc>
              <w:tc>
                <w:tcPr>
                  <w:tcW w:w="0" w:type="auto"/>
                  <w:noWrap/>
                  <w:vAlign w:val="center"/>
                </w:tcPr>
                <w:p>
                  <w:pPr>
                    <w:kinsoku w:val="0"/>
                    <w:overflowPunct w:val="0"/>
                    <w:autoSpaceDE w:val="0"/>
                    <w:autoSpaceDN w:val="0"/>
                    <w:adjustRightInd w:val="0"/>
                    <w:snapToGrid w:val="0"/>
                    <w:jc w:val="center"/>
                    <w:rPr>
                      <w:kern w:val="0"/>
                      <w:sz w:val="18"/>
                      <w:szCs w:val="18"/>
                    </w:rPr>
                  </w:pPr>
                  <w:r>
                    <w:rPr>
                      <w:rFonts w:hint="eastAsia"/>
                      <w:sz w:val="18"/>
                      <w:szCs w:val="18"/>
                    </w:rPr>
                    <w:t>/</w:t>
                  </w:r>
                </w:p>
              </w:tc>
              <w:tc>
                <w:tcPr>
                  <w:tcW w:w="0" w:type="auto"/>
                  <w:noWrap/>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w:t>
                  </w:r>
                </w:p>
              </w:tc>
              <w:tc>
                <w:tcPr>
                  <w:tcW w:w="0" w:type="auto"/>
                  <w:vAlign w:val="center"/>
                </w:tcPr>
                <w:p>
                  <w:pPr>
                    <w:kinsoku w:val="0"/>
                    <w:overflowPunct w:val="0"/>
                    <w:autoSpaceDE w:val="0"/>
                    <w:autoSpaceDN w:val="0"/>
                    <w:adjustRightInd w:val="0"/>
                    <w:snapToGrid w:val="0"/>
                    <w:jc w:val="center"/>
                    <w:rPr>
                      <w:kern w:val="0"/>
                      <w:sz w:val="18"/>
                      <w:szCs w:val="18"/>
                    </w:rPr>
                  </w:pPr>
                  <w:r>
                    <w:rPr>
                      <w:rFonts w:hint="eastAsia"/>
                      <w:sz w:val="18"/>
                      <w:szCs w:val="18"/>
                    </w:rPr>
                    <w:t>/</w:t>
                  </w:r>
                </w:p>
              </w:tc>
              <w:tc>
                <w:tcPr>
                  <w:tcW w:w="0" w:type="auto"/>
                  <w:vMerge w:val="restart"/>
                  <w:vAlign w:val="center"/>
                </w:tcPr>
                <w:p>
                  <w:pPr>
                    <w:kinsoku w:val="0"/>
                    <w:overflowPunct w:val="0"/>
                    <w:autoSpaceDE w:val="0"/>
                    <w:autoSpaceDN w:val="0"/>
                    <w:adjustRightInd w:val="0"/>
                    <w:snapToGrid w:val="0"/>
                    <w:jc w:val="center"/>
                    <w:rPr>
                      <w:rFonts w:eastAsia="等线"/>
                      <w:sz w:val="18"/>
                      <w:szCs w:val="18"/>
                    </w:rPr>
                  </w:pPr>
                  <w:r>
                    <w:rPr>
                      <w:rFonts w:hint="eastAsia" w:eastAsia="等线"/>
                      <w:sz w:val="18"/>
                      <w:szCs w:val="18"/>
                    </w:rPr>
                    <w:t>2400h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6" w:hRule="atLeast"/>
                <w:jc w:val="center"/>
              </w:trPr>
              <w:tc>
                <w:tcPr>
                  <w:tcW w:w="0" w:type="auto"/>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原料运输和转运</w:t>
                  </w:r>
                </w:p>
              </w:tc>
              <w:tc>
                <w:tcPr>
                  <w:tcW w:w="0" w:type="auto"/>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原料运输和转运扬尘</w:t>
                  </w:r>
                </w:p>
              </w:tc>
              <w:tc>
                <w:tcPr>
                  <w:tcW w:w="0" w:type="auto"/>
                  <w:vAlign w:val="center"/>
                </w:tcPr>
                <w:p>
                  <w:pPr>
                    <w:kinsoku w:val="0"/>
                    <w:overflowPunct w:val="0"/>
                    <w:autoSpaceDE w:val="0"/>
                    <w:autoSpaceDN w:val="0"/>
                    <w:adjustRightInd w:val="0"/>
                    <w:snapToGrid w:val="0"/>
                    <w:jc w:val="center"/>
                    <w:rPr>
                      <w:sz w:val="18"/>
                      <w:szCs w:val="18"/>
                    </w:rPr>
                  </w:pPr>
                  <w:r>
                    <w:rPr>
                      <w:rFonts w:hint="eastAsia"/>
                      <w:sz w:val="18"/>
                      <w:szCs w:val="18"/>
                    </w:rPr>
                    <w:t>原料运输和转运</w:t>
                  </w:r>
                </w:p>
              </w:tc>
              <w:tc>
                <w:tcPr>
                  <w:tcW w:w="0" w:type="auto"/>
                  <w:noWrap/>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颗粒物</w:t>
                  </w:r>
                </w:p>
              </w:tc>
              <w:tc>
                <w:tcPr>
                  <w:tcW w:w="0" w:type="auto"/>
                  <w:vMerge w:val="continue"/>
                  <w:vAlign w:val="center"/>
                </w:tcPr>
                <w:p>
                  <w:pPr>
                    <w:kinsoku w:val="0"/>
                    <w:overflowPunct w:val="0"/>
                    <w:autoSpaceDE w:val="0"/>
                    <w:autoSpaceDN w:val="0"/>
                    <w:adjustRightInd w:val="0"/>
                    <w:snapToGrid w:val="0"/>
                    <w:jc w:val="center"/>
                    <w:rPr>
                      <w:kern w:val="0"/>
                      <w:sz w:val="18"/>
                      <w:szCs w:val="18"/>
                    </w:rPr>
                  </w:pPr>
                </w:p>
              </w:tc>
              <w:tc>
                <w:tcPr>
                  <w:tcW w:w="0" w:type="auto"/>
                  <w:noWrap/>
                  <w:vAlign w:val="center"/>
                </w:tcPr>
                <w:p>
                  <w:pPr>
                    <w:kinsoku w:val="0"/>
                    <w:overflowPunct w:val="0"/>
                    <w:autoSpaceDE w:val="0"/>
                    <w:autoSpaceDN w:val="0"/>
                    <w:adjustRightInd w:val="0"/>
                    <w:snapToGrid w:val="0"/>
                    <w:jc w:val="center"/>
                    <w:rPr>
                      <w:rFonts w:eastAsia="等线"/>
                      <w:sz w:val="18"/>
                      <w:szCs w:val="18"/>
                    </w:rPr>
                  </w:pPr>
                  <w:r>
                    <w:rPr>
                      <w:rFonts w:hint="eastAsia" w:eastAsia="等线"/>
                      <w:sz w:val="18"/>
                      <w:szCs w:val="18"/>
                    </w:rPr>
                    <w:t>/</w:t>
                  </w:r>
                </w:p>
              </w:tc>
              <w:tc>
                <w:tcPr>
                  <w:tcW w:w="0" w:type="auto"/>
                  <w:noWrap/>
                  <w:vAlign w:val="center"/>
                </w:tcPr>
                <w:p>
                  <w:pPr>
                    <w:kinsoku w:val="0"/>
                    <w:overflowPunct w:val="0"/>
                    <w:autoSpaceDE w:val="0"/>
                    <w:autoSpaceDN w:val="0"/>
                    <w:adjustRightInd w:val="0"/>
                    <w:snapToGrid w:val="0"/>
                    <w:jc w:val="center"/>
                    <w:rPr>
                      <w:rFonts w:eastAsia="等线"/>
                      <w:sz w:val="18"/>
                      <w:szCs w:val="18"/>
                    </w:rPr>
                  </w:pPr>
                  <w:r>
                    <w:rPr>
                      <w:rFonts w:hint="eastAsia" w:eastAsia="等线"/>
                      <w:sz w:val="18"/>
                      <w:szCs w:val="18"/>
                    </w:rPr>
                    <w:t>/</w:t>
                  </w:r>
                </w:p>
              </w:tc>
              <w:tc>
                <w:tcPr>
                  <w:tcW w:w="0" w:type="auto"/>
                  <w:noWrap/>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12.5</w:t>
                  </w:r>
                </w:p>
              </w:tc>
              <w:tc>
                <w:tcPr>
                  <w:tcW w:w="0" w:type="auto"/>
                  <w:vAlign w:val="center"/>
                </w:tcPr>
                <w:p>
                  <w:pPr>
                    <w:kinsoku w:val="0"/>
                    <w:overflowPunct w:val="0"/>
                    <w:autoSpaceDE w:val="0"/>
                    <w:autoSpaceDN w:val="0"/>
                    <w:adjustRightInd w:val="0"/>
                    <w:snapToGrid w:val="0"/>
                    <w:jc w:val="center"/>
                    <w:rPr>
                      <w:rFonts w:eastAsia="等线"/>
                      <w:sz w:val="18"/>
                      <w:szCs w:val="18"/>
                    </w:rPr>
                  </w:pPr>
                  <w:r>
                    <w:rPr>
                      <w:rFonts w:hint="eastAsia" w:eastAsia="等线"/>
                      <w:sz w:val="18"/>
                      <w:szCs w:val="18"/>
                    </w:rPr>
                    <w:t>30</w:t>
                  </w:r>
                </w:p>
              </w:tc>
              <w:tc>
                <w:tcPr>
                  <w:tcW w:w="0" w:type="auto"/>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运输过程中采用苫布覆盖限速、设置洒水喷淋降尘</w:t>
                  </w:r>
                </w:p>
              </w:tc>
              <w:tc>
                <w:tcPr>
                  <w:tcW w:w="0" w:type="auto"/>
                  <w:noWrap/>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80</w:t>
                  </w:r>
                </w:p>
              </w:tc>
              <w:tc>
                <w:tcPr>
                  <w:tcW w:w="0" w:type="auto"/>
                  <w:vMerge w:val="continue"/>
                  <w:vAlign w:val="center"/>
                </w:tcPr>
                <w:p>
                  <w:pPr>
                    <w:kinsoku w:val="0"/>
                    <w:overflowPunct w:val="0"/>
                    <w:autoSpaceDE w:val="0"/>
                    <w:autoSpaceDN w:val="0"/>
                    <w:adjustRightInd w:val="0"/>
                    <w:snapToGrid w:val="0"/>
                    <w:jc w:val="center"/>
                    <w:rPr>
                      <w:kern w:val="0"/>
                      <w:sz w:val="18"/>
                      <w:szCs w:val="18"/>
                    </w:rPr>
                  </w:pPr>
                </w:p>
              </w:tc>
              <w:tc>
                <w:tcPr>
                  <w:tcW w:w="0" w:type="auto"/>
                  <w:noWrap/>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w:t>
                  </w:r>
                </w:p>
              </w:tc>
              <w:tc>
                <w:tcPr>
                  <w:tcW w:w="0" w:type="auto"/>
                  <w:noWrap/>
                  <w:vAlign w:val="center"/>
                </w:tcPr>
                <w:p>
                  <w:pPr>
                    <w:kinsoku w:val="0"/>
                    <w:overflowPunct w:val="0"/>
                    <w:autoSpaceDE w:val="0"/>
                    <w:autoSpaceDN w:val="0"/>
                    <w:adjustRightInd w:val="0"/>
                    <w:snapToGrid w:val="0"/>
                    <w:jc w:val="center"/>
                    <w:rPr>
                      <w:sz w:val="18"/>
                      <w:szCs w:val="18"/>
                    </w:rPr>
                  </w:pPr>
                  <w:r>
                    <w:rPr>
                      <w:rFonts w:hint="eastAsia"/>
                      <w:sz w:val="18"/>
                      <w:szCs w:val="18"/>
                    </w:rPr>
                    <w:t>/</w:t>
                  </w:r>
                </w:p>
              </w:tc>
              <w:tc>
                <w:tcPr>
                  <w:tcW w:w="0" w:type="auto"/>
                  <w:noWrap/>
                  <w:vAlign w:val="center"/>
                </w:tcPr>
                <w:p>
                  <w:pPr>
                    <w:kinsoku w:val="0"/>
                    <w:overflowPunct w:val="0"/>
                    <w:autoSpaceDE w:val="0"/>
                    <w:autoSpaceDN w:val="0"/>
                    <w:adjustRightInd w:val="0"/>
                    <w:snapToGrid w:val="0"/>
                    <w:jc w:val="center"/>
                    <w:rPr>
                      <w:rFonts w:eastAsia="等线"/>
                      <w:sz w:val="18"/>
                      <w:szCs w:val="18"/>
                    </w:rPr>
                  </w:pPr>
                  <w:r>
                    <w:rPr>
                      <w:rFonts w:hint="eastAsia" w:eastAsia="等线"/>
                      <w:sz w:val="18"/>
                      <w:szCs w:val="18"/>
                    </w:rPr>
                    <w:t>2.5</w:t>
                  </w:r>
                </w:p>
              </w:tc>
              <w:tc>
                <w:tcPr>
                  <w:tcW w:w="0" w:type="auto"/>
                  <w:vAlign w:val="center"/>
                </w:tcPr>
                <w:p>
                  <w:pPr>
                    <w:kinsoku w:val="0"/>
                    <w:overflowPunct w:val="0"/>
                    <w:autoSpaceDE w:val="0"/>
                    <w:autoSpaceDN w:val="0"/>
                    <w:adjustRightInd w:val="0"/>
                    <w:snapToGrid w:val="0"/>
                    <w:jc w:val="center"/>
                    <w:rPr>
                      <w:rFonts w:eastAsia="等线"/>
                      <w:sz w:val="18"/>
                      <w:szCs w:val="18"/>
                    </w:rPr>
                  </w:pPr>
                  <w:r>
                    <w:rPr>
                      <w:rFonts w:hint="eastAsia" w:eastAsia="等线"/>
                      <w:sz w:val="18"/>
                      <w:szCs w:val="18"/>
                    </w:rPr>
                    <w:t>6</w:t>
                  </w:r>
                </w:p>
              </w:tc>
              <w:tc>
                <w:tcPr>
                  <w:tcW w:w="0" w:type="auto"/>
                  <w:vMerge w:val="continue"/>
                </w:tcPr>
                <w:p>
                  <w:pPr>
                    <w:kinsoku w:val="0"/>
                    <w:overflowPunct w:val="0"/>
                    <w:autoSpaceDE w:val="0"/>
                    <w:autoSpaceDN w:val="0"/>
                    <w:adjustRightInd w:val="0"/>
                    <w:snapToGrid w:val="0"/>
                    <w:jc w:val="center"/>
                    <w:rPr>
                      <w:rFonts w:eastAsia="等线"/>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6" w:hRule="atLeast"/>
                <w:jc w:val="center"/>
              </w:trPr>
              <w:tc>
                <w:tcPr>
                  <w:tcW w:w="0" w:type="auto"/>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道路运输</w:t>
                  </w:r>
                </w:p>
              </w:tc>
              <w:tc>
                <w:tcPr>
                  <w:tcW w:w="0" w:type="auto"/>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道路运输扬尘</w:t>
                  </w:r>
                </w:p>
              </w:tc>
              <w:tc>
                <w:tcPr>
                  <w:tcW w:w="0" w:type="auto"/>
                  <w:vAlign w:val="center"/>
                </w:tcPr>
                <w:p>
                  <w:pPr>
                    <w:kinsoku w:val="0"/>
                    <w:overflowPunct w:val="0"/>
                    <w:autoSpaceDE w:val="0"/>
                    <w:autoSpaceDN w:val="0"/>
                    <w:adjustRightInd w:val="0"/>
                    <w:snapToGrid w:val="0"/>
                    <w:jc w:val="center"/>
                    <w:rPr>
                      <w:sz w:val="18"/>
                      <w:szCs w:val="18"/>
                    </w:rPr>
                  </w:pPr>
                  <w:r>
                    <w:rPr>
                      <w:rFonts w:hint="eastAsia"/>
                      <w:sz w:val="18"/>
                      <w:szCs w:val="18"/>
                    </w:rPr>
                    <w:t>道路运输</w:t>
                  </w:r>
                </w:p>
              </w:tc>
              <w:tc>
                <w:tcPr>
                  <w:tcW w:w="0" w:type="auto"/>
                  <w:noWrap/>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颗粒物</w:t>
                  </w:r>
                </w:p>
              </w:tc>
              <w:tc>
                <w:tcPr>
                  <w:tcW w:w="0" w:type="auto"/>
                  <w:vMerge w:val="continue"/>
                  <w:vAlign w:val="center"/>
                </w:tcPr>
                <w:p>
                  <w:pPr>
                    <w:kinsoku w:val="0"/>
                    <w:overflowPunct w:val="0"/>
                    <w:autoSpaceDE w:val="0"/>
                    <w:autoSpaceDN w:val="0"/>
                    <w:adjustRightInd w:val="0"/>
                    <w:snapToGrid w:val="0"/>
                    <w:jc w:val="center"/>
                    <w:rPr>
                      <w:kern w:val="0"/>
                      <w:sz w:val="18"/>
                      <w:szCs w:val="18"/>
                    </w:rPr>
                  </w:pPr>
                </w:p>
              </w:tc>
              <w:tc>
                <w:tcPr>
                  <w:tcW w:w="0" w:type="auto"/>
                  <w:noWrap/>
                  <w:vAlign w:val="center"/>
                </w:tcPr>
                <w:p>
                  <w:pPr>
                    <w:kinsoku w:val="0"/>
                    <w:overflowPunct w:val="0"/>
                    <w:autoSpaceDE w:val="0"/>
                    <w:autoSpaceDN w:val="0"/>
                    <w:adjustRightInd w:val="0"/>
                    <w:snapToGrid w:val="0"/>
                    <w:jc w:val="center"/>
                    <w:rPr>
                      <w:rFonts w:eastAsia="等线"/>
                      <w:sz w:val="18"/>
                      <w:szCs w:val="18"/>
                    </w:rPr>
                  </w:pPr>
                  <w:r>
                    <w:rPr>
                      <w:rFonts w:hint="eastAsia" w:eastAsia="等线"/>
                      <w:sz w:val="18"/>
                      <w:szCs w:val="18"/>
                    </w:rPr>
                    <w:t>/</w:t>
                  </w:r>
                </w:p>
              </w:tc>
              <w:tc>
                <w:tcPr>
                  <w:tcW w:w="0" w:type="auto"/>
                  <w:noWrap/>
                  <w:vAlign w:val="center"/>
                </w:tcPr>
                <w:p>
                  <w:pPr>
                    <w:kinsoku w:val="0"/>
                    <w:overflowPunct w:val="0"/>
                    <w:autoSpaceDE w:val="0"/>
                    <w:autoSpaceDN w:val="0"/>
                    <w:adjustRightInd w:val="0"/>
                    <w:snapToGrid w:val="0"/>
                    <w:jc w:val="center"/>
                    <w:rPr>
                      <w:rFonts w:eastAsia="等线"/>
                      <w:sz w:val="18"/>
                      <w:szCs w:val="18"/>
                    </w:rPr>
                  </w:pPr>
                  <w:r>
                    <w:rPr>
                      <w:rFonts w:hint="eastAsia" w:eastAsia="等线"/>
                      <w:sz w:val="18"/>
                      <w:szCs w:val="18"/>
                    </w:rPr>
                    <w:t>/</w:t>
                  </w:r>
                </w:p>
              </w:tc>
              <w:tc>
                <w:tcPr>
                  <w:tcW w:w="0" w:type="auto"/>
                  <w:noWrap/>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0.763</w:t>
                  </w:r>
                </w:p>
              </w:tc>
              <w:tc>
                <w:tcPr>
                  <w:tcW w:w="0" w:type="auto"/>
                  <w:vAlign w:val="center"/>
                </w:tcPr>
                <w:p>
                  <w:pPr>
                    <w:kinsoku w:val="0"/>
                    <w:overflowPunct w:val="0"/>
                    <w:autoSpaceDE w:val="0"/>
                    <w:autoSpaceDN w:val="0"/>
                    <w:adjustRightInd w:val="0"/>
                    <w:snapToGrid w:val="0"/>
                    <w:jc w:val="center"/>
                    <w:rPr>
                      <w:rFonts w:eastAsia="等线"/>
                      <w:sz w:val="18"/>
                      <w:szCs w:val="18"/>
                    </w:rPr>
                  </w:pPr>
                  <w:r>
                    <w:rPr>
                      <w:rFonts w:hint="eastAsia" w:eastAsia="等线"/>
                      <w:sz w:val="18"/>
                      <w:szCs w:val="18"/>
                    </w:rPr>
                    <w:t>1.83</w:t>
                  </w:r>
                </w:p>
              </w:tc>
              <w:tc>
                <w:tcPr>
                  <w:tcW w:w="0" w:type="auto"/>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加盖苫布、洒水降尘、厂内道路全部硬化</w:t>
                  </w:r>
                </w:p>
              </w:tc>
              <w:tc>
                <w:tcPr>
                  <w:tcW w:w="0" w:type="auto"/>
                  <w:noWrap/>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80</w:t>
                  </w:r>
                </w:p>
              </w:tc>
              <w:tc>
                <w:tcPr>
                  <w:tcW w:w="0" w:type="auto"/>
                  <w:vMerge w:val="continue"/>
                  <w:vAlign w:val="center"/>
                </w:tcPr>
                <w:p>
                  <w:pPr>
                    <w:kinsoku w:val="0"/>
                    <w:overflowPunct w:val="0"/>
                    <w:autoSpaceDE w:val="0"/>
                    <w:autoSpaceDN w:val="0"/>
                    <w:adjustRightInd w:val="0"/>
                    <w:snapToGrid w:val="0"/>
                    <w:jc w:val="center"/>
                    <w:rPr>
                      <w:kern w:val="0"/>
                      <w:sz w:val="18"/>
                      <w:szCs w:val="18"/>
                    </w:rPr>
                  </w:pPr>
                </w:p>
              </w:tc>
              <w:tc>
                <w:tcPr>
                  <w:tcW w:w="0" w:type="auto"/>
                  <w:noWrap/>
                  <w:vAlign w:val="center"/>
                </w:tcPr>
                <w:p>
                  <w:pPr>
                    <w:kinsoku w:val="0"/>
                    <w:overflowPunct w:val="0"/>
                    <w:autoSpaceDE w:val="0"/>
                    <w:autoSpaceDN w:val="0"/>
                    <w:adjustRightInd w:val="0"/>
                    <w:snapToGrid w:val="0"/>
                    <w:jc w:val="center"/>
                    <w:rPr>
                      <w:kern w:val="0"/>
                      <w:sz w:val="18"/>
                      <w:szCs w:val="18"/>
                    </w:rPr>
                  </w:pPr>
                  <w:r>
                    <w:rPr>
                      <w:rFonts w:hint="eastAsia"/>
                      <w:kern w:val="0"/>
                      <w:sz w:val="18"/>
                      <w:szCs w:val="18"/>
                    </w:rPr>
                    <w:t>/</w:t>
                  </w:r>
                </w:p>
              </w:tc>
              <w:tc>
                <w:tcPr>
                  <w:tcW w:w="0" w:type="auto"/>
                  <w:noWrap/>
                  <w:vAlign w:val="center"/>
                </w:tcPr>
                <w:p>
                  <w:pPr>
                    <w:kinsoku w:val="0"/>
                    <w:overflowPunct w:val="0"/>
                    <w:autoSpaceDE w:val="0"/>
                    <w:autoSpaceDN w:val="0"/>
                    <w:adjustRightInd w:val="0"/>
                    <w:snapToGrid w:val="0"/>
                    <w:jc w:val="center"/>
                    <w:rPr>
                      <w:sz w:val="18"/>
                      <w:szCs w:val="18"/>
                    </w:rPr>
                  </w:pPr>
                  <w:r>
                    <w:rPr>
                      <w:rFonts w:hint="eastAsia"/>
                      <w:sz w:val="18"/>
                      <w:szCs w:val="18"/>
                    </w:rPr>
                    <w:t>/</w:t>
                  </w:r>
                </w:p>
              </w:tc>
              <w:tc>
                <w:tcPr>
                  <w:tcW w:w="0" w:type="auto"/>
                  <w:noWrap/>
                  <w:vAlign w:val="center"/>
                </w:tcPr>
                <w:p>
                  <w:pPr>
                    <w:kinsoku w:val="0"/>
                    <w:overflowPunct w:val="0"/>
                    <w:autoSpaceDE w:val="0"/>
                    <w:autoSpaceDN w:val="0"/>
                    <w:adjustRightInd w:val="0"/>
                    <w:snapToGrid w:val="0"/>
                    <w:jc w:val="center"/>
                    <w:rPr>
                      <w:rFonts w:eastAsia="等线"/>
                      <w:sz w:val="18"/>
                      <w:szCs w:val="18"/>
                    </w:rPr>
                  </w:pPr>
                  <w:r>
                    <w:rPr>
                      <w:rFonts w:hint="eastAsia"/>
                      <w:kern w:val="0"/>
                      <w:sz w:val="18"/>
                      <w:szCs w:val="18"/>
                    </w:rPr>
                    <w:t>0.153</w:t>
                  </w:r>
                </w:p>
              </w:tc>
              <w:tc>
                <w:tcPr>
                  <w:tcW w:w="0" w:type="auto"/>
                  <w:vAlign w:val="center"/>
                </w:tcPr>
                <w:p>
                  <w:pPr>
                    <w:kinsoku w:val="0"/>
                    <w:overflowPunct w:val="0"/>
                    <w:autoSpaceDE w:val="0"/>
                    <w:autoSpaceDN w:val="0"/>
                    <w:adjustRightInd w:val="0"/>
                    <w:snapToGrid w:val="0"/>
                    <w:jc w:val="center"/>
                    <w:rPr>
                      <w:rFonts w:eastAsia="等线"/>
                      <w:sz w:val="18"/>
                      <w:szCs w:val="18"/>
                    </w:rPr>
                  </w:pPr>
                  <w:r>
                    <w:rPr>
                      <w:rFonts w:hint="eastAsia" w:eastAsia="等线"/>
                      <w:sz w:val="18"/>
                      <w:szCs w:val="18"/>
                    </w:rPr>
                    <w:t>0.366</w:t>
                  </w:r>
                </w:p>
              </w:tc>
              <w:tc>
                <w:tcPr>
                  <w:tcW w:w="0" w:type="auto"/>
                  <w:vMerge w:val="continue"/>
                </w:tcPr>
                <w:p>
                  <w:pPr>
                    <w:kinsoku w:val="0"/>
                    <w:overflowPunct w:val="0"/>
                    <w:autoSpaceDE w:val="0"/>
                    <w:autoSpaceDN w:val="0"/>
                    <w:adjustRightInd w:val="0"/>
                    <w:snapToGrid w:val="0"/>
                    <w:jc w:val="center"/>
                    <w:rPr>
                      <w:rFonts w:eastAsia="等线"/>
                      <w:sz w:val="18"/>
                      <w:szCs w:val="18"/>
                    </w:rPr>
                  </w:pPr>
                </w:p>
              </w:tc>
            </w:tr>
          </w:tbl>
          <w:p>
            <w:pPr>
              <w:pStyle w:val="87"/>
              <w:rPr>
                <w:rFonts w:eastAsia="宋体" w:cs="Times New Roman"/>
                <w:color w:val="auto"/>
              </w:rPr>
            </w:pPr>
          </w:p>
        </w:tc>
      </w:tr>
    </w:tbl>
    <w:p>
      <w:pPr>
        <w:pStyle w:val="15"/>
        <w:adjustRightInd w:val="0"/>
        <w:snapToGrid w:val="0"/>
        <w:spacing w:before="0" w:beforeAutospacing="0" w:after="0" w:afterAutospacing="0"/>
        <w:ind w:firstLine="360" w:firstLineChars="100"/>
        <w:outlineLvl w:val="0"/>
        <w:rPr>
          <w:rFonts w:ascii="Times New Roman" w:hAnsi="Times New Roman"/>
          <w:snapToGrid w:val="0"/>
          <w:sz w:val="36"/>
          <w:szCs w:val="36"/>
        </w:rPr>
        <w:sectPr>
          <w:pgSz w:w="16840" w:h="11907" w:orient="landscape"/>
          <w:pgMar w:top="1701" w:right="1531" w:bottom="1531" w:left="1531" w:header="851" w:footer="851" w:gutter="0"/>
          <w:cols w:space="720" w:num="1"/>
          <w:docGrid w:linePitch="312" w:charSpace="0"/>
        </w:sectPr>
      </w:pPr>
    </w:p>
    <w:tbl>
      <w:tblPr>
        <w:tblStyle w:val="21"/>
        <w:tblW w:w="88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8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90" w:hRule="atLeast"/>
        </w:trPr>
        <w:tc>
          <w:tcPr>
            <w:tcW w:w="704" w:type="dxa"/>
            <w:vAlign w:val="center"/>
          </w:tcPr>
          <w:p>
            <w:pPr>
              <w:jc w:val="center"/>
              <w:rPr>
                <w:bCs/>
                <w:sz w:val="24"/>
              </w:rPr>
            </w:pPr>
            <w:r>
              <w:rPr>
                <w:bCs/>
                <w:sz w:val="24"/>
              </w:rPr>
              <w:t>运营</w:t>
            </w:r>
            <w:r>
              <w:rPr>
                <w:rFonts w:hint="eastAsia"/>
                <w:bCs/>
                <w:sz w:val="24"/>
              </w:rPr>
              <w:t xml:space="preserve"> </w:t>
            </w:r>
          </w:p>
          <w:p>
            <w:pPr>
              <w:jc w:val="center"/>
              <w:rPr>
                <w:bCs/>
                <w:sz w:val="24"/>
              </w:rPr>
            </w:pPr>
            <w:r>
              <w:rPr>
                <w:bCs/>
                <w:sz w:val="24"/>
              </w:rPr>
              <w:t>期环</w:t>
            </w:r>
          </w:p>
          <w:p>
            <w:pPr>
              <w:jc w:val="center"/>
              <w:rPr>
                <w:bCs/>
                <w:sz w:val="24"/>
              </w:rPr>
            </w:pPr>
            <w:r>
              <w:rPr>
                <w:bCs/>
                <w:sz w:val="24"/>
              </w:rPr>
              <w:t>境影</w:t>
            </w:r>
          </w:p>
          <w:p>
            <w:pPr>
              <w:jc w:val="center"/>
              <w:rPr>
                <w:bCs/>
                <w:sz w:val="24"/>
              </w:rPr>
            </w:pPr>
            <w:r>
              <w:rPr>
                <w:bCs/>
                <w:sz w:val="24"/>
              </w:rPr>
              <w:t>响和</w:t>
            </w:r>
          </w:p>
          <w:p>
            <w:pPr>
              <w:jc w:val="center"/>
              <w:rPr>
                <w:bCs/>
                <w:sz w:val="24"/>
              </w:rPr>
            </w:pPr>
            <w:r>
              <w:rPr>
                <w:bCs/>
                <w:sz w:val="24"/>
              </w:rPr>
              <w:t>保护</w:t>
            </w:r>
          </w:p>
          <w:p>
            <w:pPr>
              <w:jc w:val="center"/>
              <w:rPr>
                <w:bCs/>
                <w:sz w:val="24"/>
              </w:rPr>
            </w:pPr>
            <w:r>
              <w:rPr>
                <w:bCs/>
                <w:sz w:val="24"/>
              </w:rPr>
              <w:t>措施</w:t>
            </w:r>
          </w:p>
        </w:tc>
        <w:tc>
          <w:tcPr>
            <w:tcW w:w="8131" w:type="dxa"/>
          </w:tcPr>
          <w:p>
            <w:pPr>
              <w:adjustRightInd w:val="0"/>
              <w:snapToGrid w:val="0"/>
              <w:spacing w:line="360" w:lineRule="auto"/>
              <w:ind w:firstLine="481" w:firstLineChars="200"/>
              <w:rPr>
                <w:b/>
                <w:bCs/>
                <w:kern w:val="0"/>
                <w:sz w:val="24"/>
              </w:rPr>
            </w:pPr>
            <w:r>
              <w:rPr>
                <w:rFonts w:hint="eastAsia"/>
                <w:b/>
                <w:bCs/>
                <w:kern w:val="0"/>
                <w:sz w:val="24"/>
              </w:rPr>
              <w:t>1、主要污染物及源强</w:t>
            </w:r>
          </w:p>
          <w:p>
            <w:pPr>
              <w:adjustRightInd w:val="0"/>
              <w:snapToGrid w:val="0"/>
              <w:spacing w:line="360" w:lineRule="auto"/>
              <w:ind w:firstLine="480" w:firstLineChars="200"/>
              <w:rPr>
                <w:kern w:val="0"/>
                <w:sz w:val="24"/>
              </w:rPr>
            </w:pPr>
            <w:r>
              <w:rPr>
                <w:rFonts w:hint="eastAsia"/>
                <w:kern w:val="0"/>
                <w:sz w:val="24"/>
              </w:rPr>
              <w:t>本项目煤炭、煤矸石定期及时外运，不会出现长时间存储情况，日常采取洒水降尘措施，能够避免煤炭、煤矸石发生白燃，避免二氧化硫等污染物的产生和排放，故本项目正常生产过程中堆存库不涉及二氧化硫排放，本次不对二氧化硫进行定量分析。本项目主要大气污染为生产过程产生的颗粒物影响，生产过程产生的废气污染物主要为物料堆放、装卸粉尘、原料运输和转运扬尘、道路运输扬尘。</w:t>
            </w:r>
          </w:p>
          <w:p>
            <w:pPr>
              <w:adjustRightInd w:val="0"/>
              <w:snapToGrid w:val="0"/>
              <w:spacing w:line="360" w:lineRule="auto"/>
              <w:ind w:firstLine="481" w:firstLineChars="200"/>
              <w:rPr>
                <w:b/>
                <w:bCs/>
                <w:kern w:val="0"/>
                <w:sz w:val="24"/>
              </w:rPr>
            </w:pPr>
            <w:r>
              <w:rPr>
                <w:rFonts w:hint="eastAsia"/>
                <w:b/>
                <w:bCs/>
                <w:kern w:val="0"/>
                <w:sz w:val="24"/>
              </w:rPr>
              <w:t>①物料堆放、装卸粉尘</w:t>
            </w:r>
          </w:p>
          <w:p>
            <w:pPr>
              <w:adjustRightInd w:val="0"/>
              <w:snapToGrid w:val="0"/>
              <w:spacing w:line="360" w:lineRule="auto"/>
              <w:ind w:firstLine="480" w:firstLineChars="200"/>
              <w:rPr>
                <w:kern w:val="0"/>
                <w:sz w:val="24"/>
              </w:rPr>
            </w:pPr>
            <w:r>
              <w:rPr>
                <w:rFonts w:hint="eastAsia"/>
                <w:kern w:val="0"/>
                <w:sz w:val="24"/>
              </w:rPr>
              <w:t>项目原料经汽车运至厂区，经铲车卸至原煤堆放库，中煤、矸石等经铲车运输存放在中煤及矸石堆放库，物料堆放、装卸等过程中会产生粉尘。</w:t>
            </w:r>
          </w:p>
          <w:p>
            <w:pPr>
              <w:adjustRightInd w:val="0"/>
              <w:snapToGrid w:val="0"/>
              <w:spacing w:line="360" w:lineRule="auto"/>
              <w:ind w:firstLine="480" w:firstLineChars="200"/>
              <w:rPr>
                <w:kern w:val="0"/>
                <w:sz w:val="24"/>
              </w:rPr>
            </w:pPr>
            <w:r>
              <w:rPr>
                <w:rFonts w:hint="eastAsia"/>
                <w:kern w:val="0"/>
                <w:sz w:val="24"/>
              </w:rPr>
              <w:t>本项目原煤堆放库、中煤堆放库、矸石堆放库为钢结构全封闭厂房、无组织粉尘在车间内自然沉降，通过对场地硬化、设置喷淋设施等，并定期打扫车间地面，保持地面清洁，无组织粉尘排放量较少，不会对外环境造成影响。</w:t>
            </w:r>
          </w:p>
          <w:p>
            <w:pPr>
              <w:adjustRightInd w:val="0"/>
              <w:snapToGrid w:val="0"/>
              <w:spacing w:line="360" w:lineRule="auto"/>
              <w:ind w:firstLine="481" w:firstLineChars="200"/>
              <w:rPr>
                <w:b/>
                <w:bCs/>
                <w:kern w:val="0"/>
                <w:sz w:val="24"/>
              </w:rPr>
            </w:pPr>
            <w:r>
              <w:rPr>
                <w:rFonts w:hint="eastAsia"/>
                <w:b/>
                <w:bCs/>
                <w:kern w:val="0"/>
                <w:sz w:val="24"/>
              </w:rPr>
              <w:t>②原料运输和转运扬尘</w:t>
            </w:r>
          </w:p>
          <w:p>
            <w:pPr>
              <w:adjustRightInd w:val="0"/>
              <w:snapToGrid w:val="0"/>
              <w:spacing w:line="360" w:lineRule="auto"/>
              <w:ind w:firstLine="480" w:firstLineChars="200"/>
              <w:rPr>
                <w:kern w:val="0"/>
                <w:sz w:val="24"/>
              </w:rPr>
            </w:pPr>
            <w:r>
              <w:rPr>
                <w:rFonts w:hint="eastAsia"/>
                <w:kern w:val="0"/>
                <w:sz w:val="24"/>
              </w:rPr>
              <w:t>本项目原料原煤在生产车间运输和转运过程会产生废气，主要污染物为颗粒物，根据《逸散性工业粉尘控制技术》中物料的装卸运输，煤在运输和转运过程中的排放因子为0.1kg/t，本项目原煤运输量为30万t/a，故本项目粉尘产生量为30t/a，粉尘产生速率为12.5kg/h，运输和转运工段采取输送带全密闭、减小输送高度、且运输过程中采用苫布覆盖、限速、转运点设置洒水喷淋等降尘措施，粉尘排放量约减少80%，则原料运输和转运过程无组织排放粉尘为0.83kg/h，6t/a。</w:t>
            </w:r>
          </w:p>
          <w:p>
            <w:pPr>
              <w:adjustRightInd w:val="0"/>
              <w:snapToGrid w:val="0"/>
              <w:spacing w:line="360" w:lineRule="auto"/>
              <w:ind w:firstLine="480" w:firstLineChars="200"/>
              <w:rPr>
                <w:kern w:val="0"/>
                <w:sz w:val="24"/>
              </w:rPr>
            </w:pPr>
            <w:r>
              <w:rPr>
                <w:rFonts w:hint="eastAsia"/>
                <w:kern w:val="0"/>
                <w:sz w:val="24"/>
              </w:rPr>
              <w:t>本项目在原料运输和转运中采用苫布覆盖、限速、转运点设置洒水喷淋等降尘措施，控制粉尘的排放；同时减小输送高度，并对厂区地面进行硬化，在认真落实上述措施的基础上，本项目厂界无组织粉尘排放浓度能够满足《煤炭工业污染物排放标准》（GB20426-2006）标准要求。</w:t>
            </w:r>
          </w:p>
          <w:p>
            <w:pPr>
              <w:adjustRightInd w:val="0"/>
              <w:snapToGrid w:val="0"/>
              <w:spacing w:line="360" w:lineRule="auto"/>
              <w:ind w:firstLine="481" w:firstLineChars="200"/>
              <w:rPr>
                <w:b/>
                <w:bCs/>
                <w:kern w:val="0"/>
                <w:sz w:val="24"/>
              </w:rPr>
            </w:pPr>
            <w:r>
              <w:rPr>
                <w:rFonts w:hint="eastAsia"/>
                <w:b/>
                <w:bCs/>
                <w:kern w:val="0"/>
                <w:sz w:val="24"/>
              </w:rPr>
              <w:t>③道路运输扬尘</w:t>
            </w:r>
          </w:p>
          <w:p>
            <w:pPr>
              <w:adjustRightInd w:val="0"/>
              <w:snapToGrid w:val="0"/>
              <w:spacing w:line="360" w:lineRule="auto"/>
              <w:ind w:firstLine="480" w:firstLineChars="200"/>
              <w:rPr>
                <w:kern w:val="0"/>
                <w:sz w:val="24"/>
              </w:rPr>
            </w:pPr>
            <w:r>
              <w:rPr>
                <w:rFonts w:hint="eastAsia"/>
                <w:kern w:val="0"/>
                <w:sz w:val="24"/>
              </w:rPr>
              <w:t>本项目原料进料和产品外运过程中在厂内道路运输会产生一定量的无组织扬尘，本项目扬尘产生量采用《污染源源强核算技术指南准则》（HJ884—2018）中物料衡算法进行计算。计算公式采用《汽车道路煤扬尘规律研究》（上海港环境保护中心）中的研究成果公式进行计算：</w:t>
            </w:r>
          </w:p>
          <w:p>
            <w:pPr>
              <w:adjustRightInd w:val="0"/>
              <w:snapToGrid w:val="0"/>
              <w:spacing w:line="360" w:lineRule="auto"/>
              <w:ind w:firstLine="420" w:firstLineChars="200"/>
              <w:jc w:val="center"/>
              <w:rPr>
                <w:kern w:val="0"/>
                <w:sz w:val="24"/>
              </w:rPr>
            </w:pPr>
            <w:r>
              <w:drawing>
                <wp:inline distT="0" distB="0" distL="0" distR="0">
                  <wp:extent cx="2028825" cy="818515"/>
                  <wp:effectExtent l="0" t="0" r="0" b="635"/>
                  <wp:docPr id="12813350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35035" name="图片 1"/>
                          <pic:cNvPicPr>
                            <a:picLocks noChangeAspect="1"/>
                          </pic:cNvPicPr>
                        </pic:nvPicPr>
                        <pic:blipFill>
                          <a:blip r:embed="rId25"/>
                          <a:stretch>
                            <a:fillRect/>
                          </a:stretch>
                        </pic:blipFill>
                        <pic:spPr>
                          <a:xfrm>
                            <a:off x="0" y="0"/>
                            <a:ext cx="2039605" cy="823278"/>
                          </a:xfrm>
                          <a:prstGeom prst="rect">
                            <a:avLst/>
                          </a:prstGeom>
                        </pic:spPr>
                      </pic:pic>
                    </a:graphicData>
                  </a:graphic>
                </wp:inline>
              </w:drawing>
            </w:r>
          </w:p>
          <w:p>
            <w:pPr>
              <w:adjustRightInd w:val="0"/>
              <w:snapToGrid w:val="0"/>
              <w:spacing w:line="360" w:lineRule="auto"/>
              <w:ind w:firstLine="480" w:firstLineChars="200"/>
              <w:rPr>
                <w:kern w:val="0"/>
                <w:sz w:val="24"/>
              </w:rPr>
            </w:pPr>
            <w:r>
              <w:rPr>
                <w:rFonts w:hint="eastAsia"/>
                <w:kern w:val="0"/>
                <w:sz w:val="24"/>
              </w:rPr>
              <w:t>式中：Q</w:t>
            </w:r>
            <w:r>
              <w:rPr>
                <w:rFonts w:hint="eastAsia"/>
                <w:kern w:val="0"/>
                <w:sz w:val="24"/>
                <w:vertAlign w:val="subscript"/>
              </w:rPr>
              <w:t>p</w:t>
            </w:r>
            <w:r>
              <w:rPr>
                <w:rFonts w:hint="eastAsia"/>
                <w:kern w:val="0"/>
                <w:sz w:val="24"/>
              </w:rPr>
              <w:t>-道路扬尘量，（kg/km·辆）；</w:t>
            </w:r>
          </w:p>
          <w:p>
            <w:pPr>
              <w:adjustRightInd w:val="0"/>
              <w:snapToGrid w:val="0"/>
              <w:spacing w:line="360" w:lineRule="auto"/>
              <w:ind w:firstLine="960" w:firstLineChars="400"/>
              <w:rPr>
                <w:kern w:val="0"/>
                <w:sz w:val="24"/>
              </w:rPr>
            </w:pPr>
            <w:r>
              <w:rPr>
                <w:rFonts w:hint="eastAsia"/>
                <w:kern w:val="0"/>
                <w:sz w:val="24"/>
              </w:rPr>
              <w:t>O'</w:t>
            </w:r>
            <w:r>
              <w:rPr>
                <w:rFonts w:hint="eastAsia"/>
                <w:kern w:val="0"/>
                <w:sz w:val="24"/>
                <w:vertAlign w:val="subscript"/>
              </w:rPr>
              <w:t>p</w:t>
            </w:r>
            <w:r>
              <w:rPr>
                <w:rFonts w:hint="eastAsia"/>
                <w:kern w:val="0"/>
                <w:sz w:val="24"/>
              </w:rPr>
              <w:t>-总扬尘量，kg/a；</w:t>
            </w:r>
          </w:p>
          <w:p>
            <w:pPr>
              <w:adjustRightInd w:val="0"/>
              <w:snapToGrid w:val="0"/>
              <w:spacing w:line="360" w:lineRule="auto"/>
              <w:ind w:firstLine="960" w:firstLineChars="400"/>
              <w:rPr>
                <w:kern w:val="0"/>
                <w:sz w:val="24"/>
              </w:rPr>
            </w:pPr>
            <w:r>
              <w:rPr>
                <w:rFonts w:hint="eastAsia"/>
                <w:kern w:val="0"/>
                <w:sz w:val="24"/>
              </w:rPr>
              <w:t>V-车辆速度，20km/h；</w:t>
            </w:r>
          </w:p>
          <w:p>
            <w:pPr>
              <w:adjustRightInd w:val="0"/>
              <w:snapToGrid w:val="0"/>
              <w:spacing w:line="360" w:lineRule="auto"/>
              <w:ind w:firstLine="960" w:firstLineChars="400"/>
              <w:rPr>
                <w:kern w:val="0"/>
                <w:sz w:val="24"/>
              </w:rPr>
            </w:pPr>
            <w:r>
              <w:rPr>
                <w:rFonts w:hint="eastAsia"/>
                <w:kern w:val="0"/>
                <w:sz w:val="24"/>
              </w:rPr>
              <w:t>M-车辆载重，50t/辆；</w:t>
            </w:r>
          </w:p>
          <w:p>
            <w:pPr>
              <w:adjustRightInd w:val="0"/>
              <w:snapToGrid w:val="0"/>
              <w:spacing w:line="360" w:lineRule="auto"/>
              <w:ind w:firstLine="960" w:firstLineChars="400"/>
              <w:rPr>
                <w:kern w:val="0"/>
                <w:sz w:val="24"/>
              </w:rPr>
            </w:pPr>
            <w:r>
              <w:rPr>
                <w:rFonts w:hint="eastAsia"/>
                <w:kern w:val="0"/>
                <w:sz w:val="24"/>
              </w:rPr>
              <w:t>P-路面灰尘覆盖率，0.05kg/m</w:t>
            </w:r>
            <w:r>
              <w:rPr>
                <w:rFonts w:hint="eastAsia"/>
                <w:kern w:val="0"/>
                <w:sz w:val="24"/>
                <w:vertAlign w:val="superscript"/>
              </w:rPr>
              <w:t>2</w:t>
            </w:r>
            <w:r>
              <w:rPr>
                <w:rFonts w:hint="eastAsia"/>
                <w:kern w:val="0"/>
                <w:sz w:val="24"/>
              </w:rPr>
              <w:t>；</w:t>
            </w:r>
          </w:p>
          <w:p>
            <w:pPr>
              <w:adjustRightInd w:val="0"/>
              <w:snapToGrid w:val="0"/>
              <w:spacing w:line="360" w:lineRule="auto"/>
              <w:ind w:firstLine="960" w:firstLineChars="400"/>
              <w:rPr>
                <w:kern w:val="0"/>
                <w:sz w:val="24"/>
              </w:rPr>
            </w:pPr>
            <w:r>
              <w:rPr>
                <w:rFonts w:hint="eastAsia"/>
                <w:kern w:val="0"/>
                <w:sz w:val="24"/>
              </w:rPr>
              <w:t>L-运距，0.3km（原煤来源于峻丰村东方金泽6矿，与本项目距离较近，直线距离300m）；</w:t>
            </w:r>
          </w:p>
          <w:p>
            <w:pPr>
              <w:adjustRightInd w:val="0"/>
              <w:snapToGrid w:val="0"/>
              <w:spacing w:line="360" w:lineRule="auto"/>
              <w:ind w:firstLine="960" w:firstLineChars="400"/>
              <w:rPr>
                <w:kern w:val="0"/>
                <w:sz w:val="24"/>
              </w:rPr>
            </w:pPr>
            <w:r>
              <w:rPr>
                <w:rFonts w:hint="eastAsia"/>
                <w:kern w:val="0"/>
                <w:sz w:val="24"/>
              </w:rPr>
              <w:t>Q-运输量，600000t/a（本项目原煤进料量为300000</w:t>
            </w:r>
            <w:r>
              <w:rPr>
                <w:bCs/>
                <w:szCs w:val="21"/>
              </w:rPr>
              <w:t>t/a</w:t>
            </w:r>
            <w:r>
              <w:rPr>
                <w:rFonts w:hint="eastAsia"/>
                <w:bCs/>
              </w:rPr>
              <w:t>，</w:t>
            </w:r>
            <w:r>
              <w:rPr>
                <w:rFonts w:hint="eastAsia"/>
                <w:kern w:val="0"/>
                <w:sz w:val="24"/>
              </w:rPr>
              <w:t>则原料和产品运输量按最大装卸量600000t/a计算）。</w:t>
            </w:r>
          </w:p>
          <w:p>
            <w:pPr>
              <w:adjustRightInd w:val="0"/>
              <w:snapToGrid w:val="0"/>
              <w:spacing w:line="360" w:lineRule="auto"/>
              <w:ind w:firstLine="480" w:firstLineChars="200"/>
              <w:rPr>
                <w:kern w:val="0"/>
                <w:sz w:val="24"/>
              </w:rPr>
            </w:pPr>
            <w:r>
              <w:rPr>
                <w:rFonts w:hint="eastAsia"/>
                <w:kern w:val="0"/>
                <w:sz w:val="24"/>
              </w:rPr>
              <w:t>根据上述公式可计算得本项目原料进料和产品外运过程中在厂内道路运输产生的粉尘量为1.83t/a。运输车辆在厂外道路行驶过程中，加盖苫布并控制车速经过敏感地段时减速慢行，减少行使过程扬尘扬散；厂内道路全部硬化，通过采取道路洒水抑尘措施，可减少道路扬尘80%，排放量为 0.153kg/h，0.366t/a。采取上述措施后，运输过程中产生的扬尘不会对周边环境产生明显影响。</w:t>
            </w:r>
          </w:p>
          <w:p>
            <w:pPr>
              <w:adjustRightInd w:val="0"/>
              <w:snapToGrid w:val="0"/>
              <w:spacing w:line="360" w:lineRule="auto"/>
              <w:ind w:firstLine="480" w:firstLineChars="200"/>
              <w:rPr>
                <w:kern w:val="0"/>
                <w:sz w:val="24"/>
              </w:rPr>
            </w:pPr>
            <w:r>
              <w:rPr>
                <w:rFonts w:hint="eastAsia"/>
                <w:kern w:val="0"/>
                <w:sz w:val="24"/>
              </w:rPr>
              <w:t>本项目在运输过程中采取加盖苫布、洒水降尘、控制车速经过敏感地段时减速慢行的方式控制粉尘的排放；同时对厂区地面进行硬化，企业加强管理，禁止车辆超载、超速。在认真落实上述措施的基础上，本项目厂界无组织粉尘排放浓度能够满足《煤炭工业污染物排放标准》（GB20426-2006）标准要求。</w:t>
            </w:r>
          </w:p>
          <w:p>
            <w:pPr>
              <w:adjustRightInd w:val="0"/>
              <w:snapToGrid w:val="0"/>
              <w:spacing w:line="360" w:lineRule="auto"/>
              <w:ind w:firstLine="481" w:firstLineChars="200"/>
              <w:rPr>
                <w:b/>
                <w:bCs/>
                <w:kern w:val="0"/>
                <w:sz w:val="24"/>
              </w:rPr>
            </w:pPr>
            <w:r>
              <w:rPr>
                <w:rFonts w:hint="eastAsia"/>
                <w:b/>
                <w:bCs/>
                <w:kern w:val="0"/>
                <w:sz w:val="24"/>
              </w:rPr>
              <w:t>2、达标情况分析</w:t>
            </w:r>
          </w:p>
          <w:p>
            <w:pPr>
              <w:adjustRightInd w:val="0"/>
              <w:snapToGrid w:val="0"/>
              <w:spacing w:line="360" w:lineRule="auto"/>
              <w:ind w:firstLine="480" w:firstLineChars="200"/>
              <w:rPr>
                <w:kern w:val="0"/>
                <w:sz w:val="24"/>
              </w:rPr>
            </w:pPr>
            <w:r>
              <w:rPr>
                <w:rFonts w:hint="eastAsia"/>
                <w:kern w:val="0"/>
                <w:sz w:val="24"/>
              </w:rPr>
              <w:t>本项目无组织废气达标情况分析见下表。</w:t>
            </w:r>
          </w:p>
          <w:p>
            <w:pPr>
              <w:pStyle w:val="46"/>
              <w:rPr>
                <w:rFonts w:eastAsia="宋体" w:cs="Times New Roman"/>
                <w:bCs/>
                <w:szCs w:val="24"/>
              </w:rPr>
            </w:pPr>
            <w:r>
              <w:rPr>
                <w:rFonts w:hint="eastAsia" w:eastAsia="宋体" w:cs="Times New Roman"/>
                <w:bCs/>
                <w:szCs w:val="24"/>
              </w:rPr>
              <w:t>表4-2 本项目无组织排放废气情况表</w:t>
            </w:r>
          </w:p>
          <w:tbl>
            <w:tblPr>
              <w:tblStyle w:val="7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9"/>
              <w:gridCol w:w="512"/>
              <w:gridCol w:w="1080"/>
              <w:gridCol w:w="1120"/>
              <w:gridCol w:w="1195"/>
              <w:gridCol w:w="1010"/>
              <w:gridCol w:w="1733"/>
              <w:gridCol w:w="4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0" w:type="dxa"/>
                  <w:vMerge w:val="restart"/>
                  <w:vAlign w:val="center"/>
                </w:tcPr>
                <w:p>
                  <w:pPr>
                    <w:adjustRightInd w:val="0"/>
                    <w:snapToGrid w:val="0"/>
                    <w:jc w:val="center"/>
                    <w:rPr>
                      <w:rFonts w:ascii="Times New Roman" w:hAnsi="Times New Roman"/>
                      <w:szCs w:val="21"/>
                    </w:rPr>
                  </w:pPr>
                  <w:r>
                    <w:rPr>
                      <w:rFonts w:hint="eastAsia" w:ascii="Times New Roman" w:hAnsi="Times New Roman"/>
                      <w:szCs w:val="21"/>
                    </w:rPr>
                    <w:t>污染源</w:t>
                  </w:r>
                </w:p>
              </w:tc>
              <w:tc>
                <w:tcPr>
                  <w:tcW w:w="546" w:type="dxa"/>
                  <w:vMerge w:val="restart"/>
                  <w:vAlign w:val="center"/>
                </w:tcPr>
                <w:p>
                  <w:pPr>
                    <w:adjustRightInd w:val="0"/>
                    <w:snapToGrid w:val="0"/>
                    <w:jc w:val="center"/>
                    <w:rPr>
                      <w:rFonts w:ascii="Times New Roman" w:hAnsi="Times New Roman"/>
                      <w:szCs w:val="21"/>
                    </w:rPr>
                  </w:pPr>
                  <w:r>
                    <w:rPr>
                      <w:rFonts w:hint="eastAsia" w:ascii="Times New Roman" w:hAnsi="Times New Roman"/>
                      <w:szCs w:val="21"/>
                    </w:rPr>
                    <w:t>污染物</w:t>
                  </w:r>
                </w:p>
              </w:tc>
              <w:tc>
                <w:tcPr>
                  <w:tcW w:w="2335" w:type="dxa"/>
                  <w:gridSpan w:val="2"/>
                  <w:vAlign w:val="center"/>
                </w:tcPr>
                <w:p>
                  <w:pPr>
                    <w:adjustRightInd w:val="0"/>
                    <w:snapToGrid w:val="0"/>
                    <w:jc w:val="center"/>
                    <w:rPr>
                      <w:rFonts w:ascii="Times New Roman" w:hAnsi="Times New Roman"/>
                      <w:szCs w:val="21"/>
                    </w:rPr>
                  </w:pPr>
                  <w:r>
                    <w:rPr>
                      <w:rFonts w:hint="eastAsia" w:ascii="Times New Roman" w:hAnsi="Times New Roman"/>
                      <w:szCs w:val="21"/>
                    </w:rPr>
                    <w:t>排放情况</w:t>
                  </w:r>
                </w:p>
              </w:tc>
              <w:tc>
                <w:tcPr>
                  <w:tcW w:w="2207" w:type="dxa"/>
                  <w:gridSpan w:val="2"/>
                  <w:vAlign w:val="center"/>
                </w:tcPr>
                <w:p>
                  <w:pPr>
                    <w:adjustRightInd w:val="0"/>
                    <w:snapToGrid w:val="0"/>
                    <w:jc w:val="center"/>
                    <w:rPr>
                      <w:rFonts w:ascii="Times New Roman" w:hAnsi="Times New Roman"/>
                      <w:szCs w:val="21"/>
                    </w:rPr>
                  </w:pPr>
                  <w:r>
                    <w:rPr>
                      <w:rFonts w:hint="eastAsia" w:ascii="Times New Roman" w:hAnsi="Times New Roman"/>
                      <w:szCs w:val="21"/>
                    </w:rPr>
                    <w:t>标准限值</w:t>
                  </w:r>
                </w:p>
              </w:tc>
              <w:tc>
                <w:tcPr>
                  <w:tcW w:w="1481" w:type="dxa"/>
                  <w:vMerge w:val="restart"/>
                  <w:vAlign w:val="center"/>
                </w:tcPr>
                <w:p>
                  <w:pPr>
                    <w:adjustRightInd w:val="0"/>
                    <w:snapToGrid w:val="0"/>
                    <w:jc w:val="center"/>
                    <w:rPr>
                      <w:rFonts w:ascii="Times New Roman" w:hAnsi="Times New Roman"/>
                      <w:szCs w:val="21"/>
                    </w:rPr>
                  </w:pPr>
                  <w:r>
                    <w:rPr>
                      <w:rFonts w:hint="eastAsia" w:ascii="Times New Roman" w:hAnsi="Times New Roman"/>
                      <w:szCs w:val="21"/>
                    </w:rPr>
                    <w:t>执行标准</w:t>
                  </w:r>
                </w:p>
              </w:tc>
              <w:tc>
                <w:tcPr>
                  <w:tcW w:w="0" w:type="auto"/>
                  <w:vMerge w:val="restart"/>
                  <w:vAlign w:val="center"/>
                </w:tcPr>
                <w:p>
                  <w:pPr>
                    <w:adjustRightInd w:val="0"/>
                    <w:snapToGrid w:val="0"/>
                    <w:jc w:val="center"/>
                    <w:rPr>
                      <w:rFonts w:ascii="Times New Roman" w:hAnsi="Times New Roman"/>
                      <w:szCs w:val="21"/>
                    </w:rPr>
                  </w:pPr>
                  <w:r>
                    <w:rPr>
                      <w:rFonts w:hint="eastAsia" w:ascii="Times New Roman" w:hAnsi="Times New Roman"/>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0" w:type="dxa"/>
                  <w:vMerge w:val="continue"/>
                  <w:vAlign w:val="center"/>
                </w:tcPr>
                <w:p>
                  <w:pPr>
                    <w:adjustRightInd w:val="0"/>
                    <w:snapToGrid w:val="0"/>
                    <w:jc w:val="center"/>
                    <w:rPr>
                      <w:rFonts w:ascii="Times New Roman" w:hAnsi="Times New Roman"/>
                      <w:szCs w:val="21"/>
                    </w:rPr>
                  </w:pPr>
                </w:p>
              </w:tc>
              <w:tc>
                <w:tcPr>
                  <w:tcW w:w="546" w:type="dxa"/>
                  <w:vMerge w:val="continue"/>
                  <w:vAlign w:val="center"/>
                </w:tcPr>
                <w:p>
                  <w:pPr>
                    <w:adjustRightInd w:val="0"/>
                    <w:snapToGrid w:val="0"/>
                    <w:jc w:val="center"/>
                    <w:rPr>
                      <w:rFonts w:ascii="Times New Roman" w:hAnsi="Times New Roman"/>
                      <w:szCs w:val="21"/>
                    </w:rPr>
                  </w:pPr>
                </w:p>
              </w:tc>
              <w:tc>
                <w:tcPr>
                  <w:tcW w:w="1107" w:type="dxa"/>
                  <w:vAlign w:val="center"/>
                </w:tcPr>
                <w:p>
                  <w:pPr>
                    <w:adjustRightInd w:val="0"/>
                    <w:snapToGrid w:val="0"/>
                    <w:jc w:val="center"/>
                    <w:rPr>
                      <w:rFonts w:ascii="Times New Roman" w:hAnsi="Times New Roman"/>
                      <w:szCs w:val="21"/>
                    </w:rPr>
                  </w:pPr>
                  <w:r>
                    <w:rPr>
                      <w:rFonts w:hint="eastAsia" w:ascii="Times New Roman" w:hAnsi="Times New Roman"/>
                      <w:szCs w:val="21"/>
                    </w:rPr>
                    <w:t>速率</w:t>
                  </w:r>
                </w:p>
                <w:p>
                  <w:pPr>
                    <w:adjustRightInd w:val="0"/>
                    <w:snapToGrid w:val="0"/>
                    <w:jc w:val="center"/>
                    <w:rPr>
                      <w:rFonts w:ascii="Times New Roman" w:hAnsi="Times New Roman"/>
                      <w:szCs w:val="21"/>
                    </w:rPr>
                  </w:pPr>
                  <w:r>
                    <w:rPr>
                      <w:rFonts w:hint="eastAsia" w:ascii="Times New Roman" w:hAnsi="Times New Roman"/>
                      <w:szCs w:val="21"/>
                    </w:rPr>
                    <w:t>（kg/h）</w:t>
                  </w:r>
                </w:p>
              </w:tc>
              <w:tc>
                <w:tcPr>
                  <w:tcW w:w="1228" w:type="dxa"/>
                  <w:vAlign w:val="center"/>
                </w:tcPr>
                <w:p>
                  <w:pPr>
                    <w:adjustRightInd w:val="0"/>
                    <w:snapToGrid w:val="0"/>
                    <w:jc w:val="center"/>
                    <w:rPr>
                      <w:rFonts w:ascii="Times New Roman" w:hAnsi="Times New Roman"/>
                      <w:szCs w:val="21"/>
                    </w:rPr>
                  </w:pPr>
                  <w:r>
                    <w:rPr>
                      <w:rFonts w:hint="eastAsia" w:ascii="Times New Roman" w:hAnsi="Times New Roman"/>
                      <w:szCs w:val="21"/>
                    </w:rPr>
                    <w:t>排放量</w:t>
                  </w:r>
                </w:p>
                <w:p>
                  <w:pPr>
                    <w:adjustRightInd w:val="0"/>
                    <w:snapToGrid w:val="0"/>
                    <w:jc w:val="center"/>
                    <w:rPr>
                      <w:rFonts w:ascii="Times New Roman" w:hAnsi="Times New Roman"/>
                      <w:szCs w:val="21"/>
                    </w:rPr>
                  </w:pPr>
                  <w:r>
                    <w:rPr>
                      <w:rFonts w:hint="eastAsia" w:ascii="Times New Roman" w:hAnsi="Times New Roman"/>
                      <w:szCs w:val="21"/>
                    </w:rPr>
                    <w:t>（t/a）</w:t>
                  </w:r>
                </w:p>
              </w:tc>
              <w:tc>
                <w:tcPr>
                  <w:tcW w:w="1197" w:type="dxa"/>
                  <w:vAlign w:val="center"/>
                </w:tcPr>
                <w:p>
                  <w:pPr>
                    <w:adjustRightInd w:val="0"/>
                    <w:snapToGrid w:val="0"/>
                    <w:jc w:val="center"/>
                    <w:rPr>
                      <w:rFonts w:ascii="Times New Roman" w:hAnsi="Times New Roman"/>
                      <w:szCs w:val="21"/>
                    </w:rPr>
                  </w:pPr>
                  <w:r>
                    <w:rPr>
                      <w:rFonts w:hint="eastAsia" w:ascii="Times New Roman" w:hAnsi="Times New Roman"/>
                      <w:szCs w:val="21"/>
                    </w:rPr>
                    <w:t>浓度（mg/m</w:t>
                  </w:r>
                  <w:r>
                    <w:rPr>
                      <w:rFonts w:hint="eastAsia" w:ascii="Times New Roman" w:hAnsi="Times New Roman"/>
                      <w:szCs w:val="21"/>
                      <w:vertAlign w:val="superscript"/>
                    </w:rPr>
                    <w:t>3</w:t>
                  </w:r>
                  <w:r>
                    <w:rPr>
                      <w:rFonts w:hint="eastAsia" w:ascii="Times New Roman" w:hAnsi="Times New Roman"/>
                      <w:szCs w:val="21"/>
                    </w:rPr>
                    <w:t>）</w:t>
                  </w:r>
                </w:p>
              </w:tc>
              <w:tc>
                <w:tcPr>
                  <w:tcW w:w="1010" w:type="dxa"/>
                  <w:vAlign w:val="center"/>
                </w:tcPr>
                <w:p>
                  <w:pPr>
                    <w:adjustRightInd w:val="0"/>
                    <w:snapToGrid w:val="0"/>
                    <w:jc w:val="center"/>
                    <w:rPr>
                      <w:rFonts w:ascii="Times New Roman" w:hAnsi="Times New Roman"/>
                      <w:szCs w:val="21"/>
                    </w:rPr>
                  </w:pPr>
                  <w:r>
                    <w:rPr>
                      <w:rFonts w:hint="eastAsia" w:ascii="Times New Roman" w:hAnsi="Times New Roman"/>
                      <w:szCs w:val="21"/>
                    </w:rPr>
                    <w:t>速率</w:t>
                  </w:r>
                </w:p>
                <w:p>
                  <w:pPr>
                    <w:adjustRightInd w:val="0"/>
                    <w:snapToGrid w:val="0"/>
                    <w:jc w:val="center"/>
                    <w:rPr>
                      <w:rFonts w:ascii="Times New Roman" w:hAnsi="Times New Roman"/>
                      <w:szCs w:val="21"/>
                    </w:rPr>
                  </w:pPr>
                  <w:r>
                    <w:rPr>
                      <w:rFonts w:hint="eastAsia" w:ascii="Times New Roman" w:hAnsi="Times New Roman"/>
                      <w:szCs w:val="21"/>
                    </w:rPr>
                    <w:t>（kg/h）</w:t>
                  </w:r>
                </w:p>
              </w:tc>
              <w:tc>
                <w:tcPr>
                  <w:tcW w:w="1481" w:type="dxa"/>
                  <w:vMerge w:val="continue"/>
                  <w:vAlign w:val="center"/>
                </w:tcPr>
                <w:p>
                  <w:pPr>
                    <w:adjustRightInd w:val="0"/>
                    <w:snapToGrid w:val="0"/>
                    <w:jc w:val="center"/>
                    <w:rPr>
                      <w:rFonts w:ascii="Times New Roman" w:hAnsi="Times New Roman"/>
                      <w:szCs w:val="21"/>
                    </w:rPr>
                  </w:pPr>
                </w:p>
              </w:tc>
              <w:tc>
                <w:tcPr>
                  <w:tcW w:w="0" w:type="auto"/>
                  <w:vMerge w:val="continue"/>
                  <w:vAlign w:val="center"/>
                </w:tcPr>
                <w:p>
                  <w:pPr>
                    <w:adjustRightInd w:val="0"/>
                    <w:snapToGrid w:val="0"/>
                    <w:jc w:val="center"/>
                    <w:rPr>
                      <w:rFonts w:ascii="Times New Roman" w:hAnsi="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0" w:type="dxa"/>
                  <w:vAlign w:val="center"/>
                </w:tcPr>
                <w:p>
                  <w:pPr>
                    <w:adjustRightInd w:val="0"/>
                    <w:snapToGrid w:val="0"/>
                    <w:jc w:val="center"/>
                    <w:rPr>
                      <w:rFonts w:ascii="Times New Roman" w:hAnsi="Times New Roman"/>
                      <w:szCs w:val="21"/>
                    </w:rPr>
                  </w:pPr>
                  <w:r>
                    <w:rPr>
                      <w:rFonts w:hint="eastAsia" w:ascii="Times New Roman" w:hAnsi="Times New Roman"/>
                      <w:szCs w:val="21"/>
                    </w:rPr>
                    <w:t>物料堆放、装卸粉尘</w:t>
                  </w:r>
                </w:p>
              </w:tc>
              <w:tc>
                <w:tcPr>
                  <w:tcW w:w="546" w:type="dxa"/>
                  <w:vAlign w:val="center"/>
                </w:tcPr>
                <w:p>
                  <w:pPr>
                    <w:adjustRightInd w:val="0"/>
                    <w:snapToGrid w:val="0"/>
                    <w:jc w:val="center"/>
                    <w:rPr>
                      <w:rFonts w:ascii="Times New Roman" w:hAnsi="Times New Roman"/>
                      <w:szCs w:val="21"/>
                    </w:rPr>
                  </w:pPr>
                  <w:r>
                    <w:rPr>
                      <w:rFonts w:hint="eastAsia" w:ascii="Times New Roman" w:hAnsi="Times New Roman"/>
                      <w:szCs w:val="21"/>
                    </w:rPr>
                    <w:t>颗粒物</w:t>
                  </w:r>
                </w:p>
              </w:tc>
              <w:tc>
                <w:tcPr>
                  <w:tcW w:w="1107" w:type="dxa"/>
                  <w:vAlign w:val="center"/>
                </w:tcPr>
                <w:p>
                  <w:pPr>
                    <w:adjustRightInd w:val="0"/>
                    <w:snapToGrid w:val="0"/>
                    <w:jc w:val="center"/>
                    <w:rPr>
                      <w:rFonts w:ascii="Times New Roman" w:hAnsi="Times New Roman"/>
                      <w:szCs w:val="21"/>
                    </w:rPr>
                  </w:pPr>
                  <w:r>
                    <w:rPr>
                      <w:rFonts w:hint="eastAsia" w:ascii="Times New Roman" w:hAnsi="Times New Roman"/>
                      <w:szCs w:val="21"/>
                    </w:rPr>
                    <w:t>/</w:t>
                  </w:r>
                </w:p>
              </w:tc>
              <w:tc>
                <w:tcPr>
                  <w:tcW w:w="1228" w:type="dxa"/>
                  <w:vAlign w:val="center"/>
                </w:tcPr>
                <w:p>
                  <w:pPr>
                    <w:adjustRightInd w:val="0"/>
                    <w:snapToGrid w:val="0"/>
                    <w:jc w:val="center"/>
                    <w:rPr>
                      <w:rFonts w:ascii="Times New Roman" w:hAnsi="Times New Roman"/>
                      <w:szCs w:val="21"/>
                    </w:rPr>
                  </w:pPr>
                  <w:r>
                    <w:rPr>
                      <w:rFonts w:hint="eastAsia" w:ascii="Times New Roman" w:hAnsi="Times New Roman"/>
                      <w:szCs w:val="21"/>
                    </w:rPr>
                    <w:t>/</w:t>
                  </w:r>
                </w:p>
              </w:tc>
              <w:tc>
                <w:tcPr>
                  <w:tcW w:w="1197" w:type="dxa"/>
                  <w:vAlign w:val="center"/>
                </w:tcPr>
                <w:p>
                  <w:pPr>
                    <w:adjustRightInd w:val="0"/>
                    <w:snapToGrid w:val="0"/>
                    <w:jc w:val="center"/>
                    <w:rPr>
                      <w:rFonts w:ascii="Times New Roman" w:hAnsi="Times New Roman"/>
                      <w:szCs w:val="21"/>
                    </w:rPr>
                  </w:pPr>
                  <w:r>
                    <w:rPr>
                      <w:rFonts w:hint="eastAsia" w:ascii="Times New Roman" w:hAnsi="Times New Roman"/>
                      <w:szCs w:val="21"/>
                    </w:rPr>
                    <w:t>/</w:t>
                  </w:r>
                </w:p>
              </w:tc>
              <w:tc>
                <w:tcPr>
                  <w:tcW w:w="1010" w:type="dxa"/>
                  <w:vAlign w:val="center"/>
                </w:tcPr>
                <w:p>
                  <w:pPr>
                    <w:adjustRightInd w:val="0"/>
                    <w:snapToGrid w:val="0"/>
                    <w:jc w:val="center"/>
                    <w:rPr>
                      <w:rFonts w:ascii="Calibri" w:hAnsi="Calibri"/>
                      <w:szCs w:val="21"/>
                    </w:rPr>
                  </w:pPr>
                  <w:r>
                    <w:rPr>
                      <w:rFonts w:hint="eastAsia" w:ascii="Times New Roman" w:hAnsi="Times New Roman"/>
                      <w:szCs w:val="21"/>
                    </w:rPr>
                    <w:t>/</w:t>
                  </w:r>
                </w:p>
              </w:tc>
              <w:tc>
                <w:tcPr>
                  <w:tcW w:w="1481" w:type="dxa"/>
                  <w:vMerge w:val="restart"/>
                  <w:vAlign w:val="center"/>
                </w:tcPr>
                <w:p>
                  <w:pPr>
                    <w:adjustRightInd w:val="0"/>
                    <w:snapToGrid w:val="0"/>
                    <w:rPr>
                      <w:rFonts w:ascii="Times New Roman" w:hAnsi="Times New Roman"/>
                      <w:szCs w:val="21"/>
                    </w:rPr>
                  </w:pPr>
                  <w:r>
                    <w:rPr>
                      <w:rFonts w:hint="eastAsia" w:ascii="Times New Roman" w:hAnsi="Times New Roman"/>
                      <w:szCs w:val="21"/>
                    </w:rPr>
                    <w:t>《煤炭工业污染物排放标准》GB20426-2006）表5煤炭工业无组织排放限值</w:t>
                  </w:r>
                </w:p>
              </w:tc>
              <w:tc>
                <w:tcPr>
                  <w:tcW w:w="0" w:type="auto"/>
                  <w:vAlign w:val="center"/>
                </w:tcPr>
                <w:p>
                  <w:pPr>
                    <w:adjustRightInd w:val="0"/>
                    <w:snapToGrid w:val="0"/>
                    <w:jc w:val="center"/>
                    <w:rPr>
                      <w:rFonts w:ascii="Times New Roman" w:hAnsi="Times New Roman"/>
                      <w:szCs w:val="21"/>
                    </w:rPr>
                  </w:pPr>
                  <w:r>
                    <w:rPr>
                      <w:rFonts w:hint="eastAsia" w:ascii="Times New Roman" w:hAnsi="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920" w:type="dxa"/>
                  <w:vAlign w:val="center"/>
                </w:tcPr>
                <w:p>
                  <w:pPr>
                    <w:adjustRightInd w:val="0"/>
                    <w:snapToGrid w:val="0"/>
                    <w:jc w:val="center"/>
                    <w:rPr>
                      <w:rFonts w:ascii="Times New Roman" w:hAnsi="Times New Roman"/>
                      <w:szCs w:val="21"/>
                    </w:rPr>
                  </w:pPr>
                  <w:r>
                    <w:rPr>
                      <w:rFonts w:hint="eastAsia" w:ascii="Times New Roman" w:hAnsi="Times New Roman"/>
                      <w:szCs w:val="21"/>
                    </w:rPr>
                    <w:t>原料运输和转运扬尘</w:t>
                  </w:r>
                </w:p>
              </w:tc>
              <w:tc>
                <w:tcPr>
                  <w:tcW w:w="546" w:type="dxa"/>
                  <w:vAlign w:val="center"/>
                </w:tcPr>
                <w:p>
                  <w:pPr>
                    <w:adjustRightInd w:val="0"/>
                    <w:snapToGrid w:val="0"/>
                    <w:jc w:val="center"/>
                    <w:rPr>
                      <w:rFonts w:ascii="Times New Roman" w:hAnsi="Times New Roman"/>
                      <w:szCs w:val="21"/>
                    </w:rPr>
                  </w:pPr>
                  <w:r>
                    <w:rPr>
                      <w:rFonts w:hint="eastAsia" w:ascii="Times New Roman" w:hAnsi="Times New Roman"/>
                      <w:szCs w:val="21"/>
                    </w:rPr>
                    <w:t>颗粒物</w:t>
                  </w:r>
                </w:p>
              </w:tc>
              <w:tc>
                <w:tcPr>
                  <w:tcW w:w="1107" w:type="dxa"/>
                  <w:vAlign w:val="center"/>
                </w:tcPr>
                <w:p>
                  <w:pPr>
                    <w:adjustRightInd w:val="0"/>
                    <w:snapToGrid w:val="0"/>
                    <w:jc w:val="center"/>
                    <w:rPr>
                      <w:rFonts w:ascii="Times New Roman" w:hAnsi="Times New Roman"/>
                      <w:szCs w:val="21"/>
                    </w:rPr>
                  </w:pPr>
                  <w:r>
                    <w:rPr>
                      <w:rFonts w:ascii="Times New Roman" w:hAnsi="Times New Roman"/>
                      <w:szCs w:val="21"/>
                    </w:rPr>
                    <w:t>0.83</w:t>
                  </w:r>
                </w:p>
              </w:tc>
              <w:tc>
                <w:tcPr>
                  <w:tcW w:w="1228" w:type="dxa"/>
                  <w:vAlign w:val="center"/>
                </w:tcPr>
                <w:p>
                  <w:pPr>
                    <w:adjustRightInd w:val="0"/>
                    <w:snapToGrid w:val="0"/>
                    <w:jc w:val="center"/>
                    <w:rPr>
                      <w:rFonts w:ascii="Times New Roman" w:hAnsi="Times New Roman"/>
                      <w:szCs w:val="21"/>
                    </w:rPr>
                  </w:pPr>
                  <w:r>
                    <w:rPr>
                      <w:rFonts w:hint="eastAsia" w:ascii="Times New Roman" w:hAnsi="Times New Roman"/>
                      <w:szCs w:val="21"/>
                    </w:rPr>
                    <w:t>6</w:t>
                  </w:r>
                </w:p>
              </w:tc>
              <w:tc>
                <w:tcPr>
                  <w:tcW w:w="1197" w:type="dxa"/>
                  <w:vAlign w:val="center"/>
                </w:tcPr>
                <w:p>
                  <w:pPr>
                    <w:adjustRightInd w:val="0"/>
                    <w:snapToGrid w:val="0"/>
                    <w:jc w:val="center"/>
                    <w:rPr>
                      <w:rFonts w:ascii="Times New Roman" w:hAnsi="Times New Roman"/>
                      <w:szCs w:val="21"/>
                    </w:rPr>
                  </w:pPr>
                  <w:r>
                    <w:rPr>
                      <w:rFonts w:hint="eastAsia" w:ascii="Times New Roman" w:hAnsi="Times New Roman"/>
                      <w:szCs w:val="21"/>
                    </w:rPr>
                    <w:t>/</w:t>
                  </w:r>
                </w:p>
              </w:tc>
              <w:tc>
                <w:tcPr>
                  <w:tcW w:w="1010" w:type="dxa"/>
                  <w:vAlign w:val="center"/>
                </w:tcPr>
                <w:p>
                  <w:pPr>
                    <w:adjustRightInd w:val="0"/>
                    <w:snapToGrid w:val="0"/>
                    <w:jc w:val="center"/>
                    <w:rPr>
                      <w:rFonts w:ascii="Calibri" w:hAnsi="Calibri"/>
                      <w:szCs w:val="21"/>
                    </w:rPr>
                  </w:pPr>
                  <w:r>
                    <w:rPr>
                      <w:rFonts w:hint="eastAsia" w:ascii="Times New Roman" w:hAnsi="Times New Roman"/>
                      <w:szCs w:val="21"/>
                    </w:rPr>
                    <w:t>/</w:t>
                  </w:r>
                </w:p>
              </w:tc>
              <w:tc>
                <w:tcPr>
                  <w:tcW w:w="1481" w:type="dxa"/>
                  <w:vMerge w:val="continue"/>
                  <w:vAlign w:val="center"/>
                </w:tcPr>
                <w:p>
                  <w:pPr>
                    <w:adjustRightInd w:val="0"/>
                    <w:snapToGrid w:val="0"/>
                    <w:rPr>
                      <w:rFonts w:ascii="Times New Roman" w:hAnsi="Times New Roman"/>
                      <w:szCs w:val="21"/>
                    </w:rPr>
                  </w:pPr>
                </w:p>
              </w:tc>
              <w:tc>
                <w:tcPr>
                  <w:tcW w:w="0" w:type="auto"/>
                  <w:vAlign w:val="center"/>
                </w:tcPr>
                <w:p>
                  <w:pPr>
                    <w:adjustRightInd w:val="0"/>
                    <w:snapToGrid w:val="0"/>
                    <w:jc w:val="center"/>
                    <w:rPr>
                      <w:rFonts w:ascii="Times New Roman" w:hAnsi="Times New Roman"/>
                      <w:szCs w:val="21"/>
                    </w:rPr>
                  </w:pPr>
                  <w:r>
                    <w:rPr>
                      <w:rFonts w:hint="eastAsia" w:ascii="Times New Roman" w:hAnsi="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0" w:type="dxa"/>
                  <w:vAlign w:val="center"/>
                </w:tcPr>
                <w:p>
                  <w:pPr>
                    <w:adjustRightInd w:val="0"/>
                    <w:snapToGrid w:val="0"/>
                    <w:jc w:val="center"/>
                    <w:rPr>
                      <w:rFonts w:ascii="Times New Roman" w:hAnsi="Times New Roman"/>
                      <w:szCs w:val="21"/>
                    </w:rPr>
                  </w:pPr>
                  <w:r>
                    <w:rPr>
                      <w:rFonts w:hint="eastAsia" w:ascii="Times New Roman" w:hAnsi="Times New Roman"/>
                      <w:szCs w:val="21"/>
                    </w:rPr>
                    <w:t>道路运输扬尘</w:t>
                  </w:r>
                </w:p>
              </w:tc>
              <w:tc>
                <w:tcPr>
                  <w:tcW w:w="546" w:type="dxa"/>
                  <w:vAlign w:val="center"/>
                </w:tcPr>
                <w:p>
                  <w:pPr>
                    <w:adjustRightInd w:val="0"/>
                    <w:snapToGrid w:val="0"/>
                    <w:jc w:val="center"/>
                    <w:rPr>
                      <w:rFonts w:ascii="Times New Roman" w:hAnsi="Times New Roman"/>
                      <w:szCs w:val="21"/>
                    </w:rPr>
                  </w:pPr>
                  <w:r>
                    <w:rPr>
                      <w:rFonts w:hint="eastAsia" w:ascii="Times New Roman" w:hAnsi="Times New Roman"/>
                      <w:szCs w:val="21"/>
                    </w:rPr>
                    <w:t>颗粒物</w:t>
                  </w:r>
                </w:p>
              </w:tc>
              <w:tc>
                <w:tcPr>
                  <w:tcW w:w="1107" w:type="dxa"/>
                  <w:vAlign w:val="center"/>
                </w:tcPr>
                <w:p>
                  <w:pPr>
                    <w:adjustRightInd w:val="0"/>
                    <w:snapToGrid w:val="0"/>
                    <w:jc w:val="center"/>
                    <w:rPr>
                      <w:rFonts w:ascii="Times New Roman" w:hAnsi="Times New Roman"/>
                      <w:szCs w:val="21"/>
                    </w:rPr>
                  </w:pPr>
                  <w:r>
                    <w:rPr>
                      <w:rFonts w:hint="eastAsia" w:ascii="Times New Roman" w:hAnsi="Times New Roman"/>
                      <w:szCs w:val="21"/>
                    </w:rPr>
                    <w:t>0.153</w:t>
                  </w:r>
                </w:p>
              </w:tc>
              <w:tc>
                <w:tcPr>
                  <w:tcW w:w="1228" w:type="dxa"/>
                  <w:vAlign w:val="center"/>
                </w:tcPr>
                <w:p>
                  <w:pPr>
                    <w:adjustRightInd w:val="0"/>
                    <w:snapToGrid w:val="0"/>
                    <w:jc w:val="center"/>
                    <w:rPr>
                      <w:rFonts w:ascii="Times New Roman" w:hAnsi="Times New Roman"/>
                      <w:szCs w:val="21"/>
                    </w:rPr>
                  </w:pPr>
                  <w:r>
                    <w:rPr>
                      <w:rFonts w:hint="eastAsia" w:ascii="Times New Roman" w:hAnsi="Times New Roman"/>
                      <w:szCs w:val="21"/>
                    </w:rPr>
                    <w:t>0.366</w:t>
                  </w:r>
                </w:p>
              </w:tc>
              <w:tc>
                <w:tcPr>
                  <w:tcW w:w="1197" w:type="dxa"/>
                  <w:vAlign w:val="center"/>
                </w:tcPr>
                <w:p>
                  <w:pPr>
                    <w:adjustRightInd w:val="0"/>
                    <w:snapToGrid w:val="0"/>
                    <w:jc w:val="center"/>
                    <w:rPr>
                      <w:rFonts w:ascii="Times New Roman" w:hAnsi="Times New Roman"/>
                      <w:szCs w:val="21"/>
                    </w:rPr>
                  </w:pPr>
                  <w:r>
                    <w:rPr>
                      <w:rFonts w:hint="eastAsia" w:ascii="Times New Roman" w:hAnsi="Times New Roman"/>
                      <w:szCs w:val="21"/>
                    </w:rPr>
                    <w:t>/</w:t>
                  </w:r>
                </w:p>
              </w:tc>
              <w:tc>
                <w:tcPr>
                  <w:tcW w:w="1010" w:type="dxa"/>
                  <w:vAlign w:val="center"/>
                </w:tcPr>
                <w:p>
                  <w:pPr>
                    <w:adjustRightInd w:val="0"/>
                    <w:snapToGrid w:val="0"/>
                    <w:jc w:val="center"/>
                    <w:rPr>
                      <w:rFonts w:ascii="Calibri" w:hAnsi="Calibri"/>
                      <w:szCs w:val="21"/>
                    </w:rPr>
                  </w:pPr>
                  <w:r>
                    <w:rPr>
                      <w:rFonts w:hint="eastAsia" w:ascii="Times New Roman" w:hAnsi="Times New Roman"/>
                      <w:szCs w:val="21"/>
                    </w:rPr>
                    <w:t>/</w:t>
                  </w:r>
                </w:p>
              </w:tc>
              <w:tc>
                <w:tcPr>
                  <w:tcW w:w="1481" w:type="dxa"/>
                  <w:vMerge w:val="continue"/>
                  <w:vAlign w:val="center"/>
                </w:tcPr>
                <w:p>
                  <w:pPr>
                    <w:adjustRightInd w:val="0"/>
                    <w:snapToGrid w:val="0"/>
                    <w:rPr>
                      <w:rFonts w:ascii="Times New Roman" w:hAnsi="Times New Roman"/>
                      <w:szCs w:val="21"/>
                    </w:rPr>
                  </w:pPr>
                </w:p>
              </w:tc>
              <w:tc>
                <w:tcPr>
                  <w:tcW w:w="0" w:type="auto"/>
                  <w:vAlign w:val="center"/>
                </w:tcPr>
                <w:p>
                  <w:pPr>
                    <w:adjustRightInd w:val="0"/>
                    <w:snapToGrid w:val="0"/>
                    <w:jc w:val="center"/>
                    <w:rPr>
                      <w:rFonts w:ascii="Times New Roman" w:hAnsi="Times New Roman"/>
                      <w:szCs w:val="21"/>
                    </w:rPr>
                  </w:pPr>
                  <w:r>
                    <w:rPr>
                      <w:rFonts w:hint="eastAsia" w:ascii="Times New Roman" w:hAnsi="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0" w:type="dxa"/>
                  <w:vAlign w:val="center"/>
                </w:tcPr>
                <w:p>
                  <w:pPr>
                    <w:adjustRightInd w:val="0"/>
                    <w:snapToGrid w:val="0"/>
                    <w:jc w:val="center"/>
                    <w:rPr>
                      <w:rFonts w:ascii="Times New Roman" w:hAnsi="Times New Roman"/>
                      <w:szCs w:val="21"/>
                    </w:rPr>
                  </w:pPr>
                  <w:r>
                    <w:rPr>
                      <w:rFonts w:hint="eastAsia" w:ascii="Times New Roman" w:hAnsi="Times New Roman"/>
                      <w:szCs w:val="21"/>
                    </w:rPr>
                    <w:t>合计</w:t>
                  </w:r>
                </w:p>
              </w:tc>
              <w:tc>
                <w:tcPr>
                  <w:tcW w:w="546" w:type="dxa"/>
                  <w:vAlign w:val="center"/>
                </w:tcPr>
                <w:p>
                  <w:pPr>
                    <w:adjustRightInd w:val="0"/>
                    <w:snapToGrid w:val="0"/>
                    <w:jc w:val="center"/>
                    <w:rPr>
                      <w:rFonts w:ascii="Times New Roman" w:hAnsi="Times New Roman"/>
                      <w:szCs w:val="21"/>
                    </w:rPr>
                  </w:pPr>
                  <w:r>
                    <w:rPr>
                      <w:rFonts w:hint="eastAsia" w:ascii="Times New Roman" w:hAnsi="Times New Roman"/>
                      <w:szCs w:val="21"/>
                    </w:rPr>
                    <w:t>颗粒物</w:t>
                  </w:r>
                </w:p>
              </w:tc>
              <w:tc>
                <w:tcPr>
                  <w:tcW w:w="1107" w:type="dxa"/>
                  <w:vAlign w:val="center"/>
                </w:tcPr>
                <w:p>
                  <w:pPr>
                    <w:adjustRightInd w:val="0"/>
                    <w:snapToGrid w:val="0"/>
                    <w:jc w:val="center"/>
                    <w:rPr>
                      <w:rFonts w:ascii="Times New Roman" w:hAnsi="Times New Roman"/>
                      <w:szCs w:val="21"/>
                    </w:rPr>
                  </w:pPr>
                  <w:r>
                    <w:rPr>
                      <w:rFonts w:hint="eastAsia" w:ascii="Times New Roman" w:hAnsi="Times New Roman"/>
                      <w:szCs w:val="21"/>
                    </w:rPr>
                    <w:t>1.436</w:t>
                  </w:r>
                </w:p>
              </w:tc>
              <w:tc>
                <w:tcPr>
                  <w:tcW w:w="1228" w:type="dxa"/>
                  <w:vAlign w:val="center"/>
                </w:tcPr>
                <w:p>
                  <w:pPr>
                    <w:adjustRightInd w:val="0"/>
                    <w:snapToGrid w:val="0"/>
                    <w:jc w:val="center"/>
                    <w:rPr>
                      <w:rFonts w:ascii="Times New Roman" w:hAnsi="Times New Roman"/>
                      <w:szCs w:val="21"/>
                    </w:rPr>
                  </w:pPr>
                  <w:r>
                    <w:rPr>
                      <w:rFonts w:hint="eastAsia" w:ascii="Times New Roman" w:hAnsi="Times New Roman"/>
                      <w:szCs w:val="21"/>
                    </w:rPr>
                    <w:t>7.39</w:t>
                  </w:r>
                </w:p>
              </w:tc>
              <w:tc>
                <w:tcPr>
                  <w:tcW w:w="1197" w:type="dxa"/>
                  <w:vAlign w:val="center"/>
                </w:tcPr>
                <w:p>
                  <w:pPr>
                    <w:adjustRightInd w:val="0"/>
                    <w:snapToGrid w:val="0"/>
                    <w:jc w:val="center"/>
                    <w:rPr>
                      <w:rFonts w:ascii="Times New Roman" w:hAnsi="Times New Roman"/>
                      <w:szCs w:val="21"/>
                    </w:rPr>
                  </w:pPr>
                  <w:r>
                    <w:rPr>
                      <w:rFonts w:hint="eastAsia" w:ascii="Times New Roman" w:hAnsi="Times New Roman"/>
                      <w:szCs w:val="21"/>
                    </w:rPr>
                    <w:t>1.0</w:t>
                  </w:r>
                </w:p>
              </w:tc>
              <w:tc>
                <w:tcPr>
                  <w:tcW w:w="1010" w:type="dxa"/>
                  <w:vAlign w:val="center"/>
                </w:tcPr>
                <w:p>
                  <w:pPr>
                    <w:adjustRightInd w:val="0"/>
                    <w:snapToGrid w:val="0"/>
                    <w:jc w:val="center"/>
                    <w:rPr>
                      <w:rFonts w:ascii="Calibri" w:hAnsi="Calibri"/>
                      <w:szCs w:val="21"/>
                    </w:rPr>
                  </w:pPr>
                  <w:r>
                    <w:rPr>
                      <w:rFonts w:ascii="Times New Roman" w:hAnsi="Times New Roman"/>
                      <w:szCs w:val="21"/>
                    </w:rPr>
                    <w:t>/</w:t>
                  </w:r>
                </w:p>
              </w:tc>
              <w:tc>
                <w:tcPr>
                  <w:tcW w:w="1481" w:type="dxa"/>
                  <w:vMerge w:val="continue"/>
                  <w:vAlign w:val="center"/>
                </w:tcPr>
                <w:p>
                  <w:pPr>
                    <w:adjustRightInd w:val="0"/>
                    <w:snapToGrid w:val="0"/>
                    <w:rPr>
                      <w:rFonts w:ascii="Times New Roman" w:hAnsi="Times New Roman"/>
                      <w:szCs w:val="21"/>
                    </w:rPr>
                  </w:pPr>
                </w:p>
              </w:tc>
              <w:tc>
                <w:tcPr>
                  <w:tcW w:w="0" w:type="auto"/>
                  <w:vAlign w:val="center"/>
                </w:tcPr>
                <w:p>
                  <w:pPr>
                    <w:adjustRightInd w:val="0"/>
                    <w:snapToGrid w:val="0"/>
                    <w:jc w:val="center"/>
                    <w:rPr>
                      <w:rFonts w:ascii="Times New Roman" w:hAnsi="Times New Roman"/>
                      <w:szCs w:val="21"/>
                    </w:rPr>
                  </w:pPr>
                  <w:r>
                    <w:rPr>
                      <w:rFonts w:hint="eastAsia" w:ascii="Times New Roman" w:hAnsi="Times New Roman"/>
                      <w:szCs w:val="21"/>
                    </w:rPr>
                    <w:t>达标</w:t>
                  </w:r>
                </w:p>
              </w:tc>
            </w:tr>
          </w:tbl>
          <w:p>
            <w:pPr>
              <w:adjustRightInd w:val="0"/>
              <w:snapToGrid w:val="0"/>
              <w:spacing w:line="360" w:lineRule="auto"/>
              <w:ind w:firstLine="481" w:firstLineChars="200"/>
              <w:rPr>
                <w:b/>
                <w:bCs/>
                <w:kern w:val="0"/>
                <w:sz w:val="24"/>
              </w:rPr>
            </w:pPr>
            <w:r>
              <w:rPr>
                <w:rFonts w:hint="eastAsia"/>
                <w:b/>
                <w:bCs/>
                <w:kern w:val="0"/>
                <w:sz w:val="24"/>
              </w:rPr>
              <w:t>3、可行性分析</w:t>
            </w:r>
          </w:p>
          <w:p>
            <w:pPr>
              <w:adjustRightInd w:val="0"/>
              <w:snapToGrid w:val="0"/>
              <w:spacing w:line="360" w:lineRule="auto"/>
              <w:ind w:firstLine="480" w:firstLineChars="200"/>
              <w:rPr>
                <w:kern w:val="0"/>
                <w:sz w:val="24"/>
              </w:rPr>
            </w:pPr>
            <w:r>
              <w:rPr>
                <w:rFonts w:hint="eastAsia"/>
                <w:kern w:val="0"/>
                <w:sz w:val="24"/>
              </w:rPr>
              <w:t>物料堆放、装卸粉尘：参考《清洁生产标准-煤炭采选业》（HJ446-2008）中清洁生产指标要求“</w:t>
            </w:r>
            <w:r>
              <w:rPr>
                <w:kern w:val="0"/>
                <w:sz w:val="24"/>
              </w:rPr>
              <w:t>部分进筒仓或全封闭的贮煤场。其他进设有挡风抑</w:t>
            </w:r>
            <w:r>
              <w:rPr>
                <w:kern w:val="0"/>
                <w:sz w:val="24"/>
              </w:rPr>
              <w:br w:type="textWrapping"/>
            </w:r>
            <w:r>
              <w:rPr>
                <w:kern w:val="0"/>
                <w:sz w:val="24"/>
              </w:rPr>
              <w:t>尘措施和洒水喷淋的装置</w:t>
            </w:r>
            <w:r>
              <w:rPr>
                <w:rFonts w:hint="eastAsia"/>
                <w:kern w:val="0"/>
                <w:sz w:val="24"/>
              </w:rPr>
              <w:t>”,本项目原煤堆放库、中煤堆放库、矸石堆放库为钢结构全封闭厂房、无组织粉尘在车间内自然沉降，通过对场地硬化、设置喷淋设施等，并定期打扫车间地面，保持地面清洁，无组织粉尘排放量较少，符合《清洁生产标准-煤炭采选业》（HJ446-2008）中的可行技术要求。</w:t>
            </w:r>
          </w:p>
          <w:p>
            <w:pPr>
              <w:adjustRightInd w:val="0"/>
              <w:snapToGrid w:val="0"/>
              <w:spacing w:line="360" w:lineRule="auto"/>
              <w:ind w:firstLine="480" w:firstLineChars="200"/>
              <w:rPr>
                <w:kern w:val="0"/>
                <w:sz w:val="24"/>
              </w:rPr>
            </w:pPr>
            <w:r>
              <w:rPr>
                <w:rFonts w:hint="eastAsia"/>
                <w:kern w:val="0"/>
                <w:sz w:val="24"/>
              </w:rPr>
              <w:t>原料运输和转运扬尘：参考《《清洁生产标准-煤炭采选业》（HJ446-2008）中清洁生产指标要求“破碎机、筛分机、带式 运输机、转载点设喷雾降尘系统”，本项目原料原煤在运输和转运过程会产生废气，主要污染物为颗粒物，运输和转运工段采取输送带全密闭、减小输送高度、且运输过程中采用苫布覆盖限速、转运点设置洒水喷淋等降尘措施，符合《清洁生产标准-煤炭采选业》（HJ446-2008）中的可行技术要求。</w:t>
            </w:r>
          </w:p>
          <w:p>
            <w:pPr>
              <w:adjustRightInd w:val="0"/>
              <w:snapToGrid w:val="0"/>
              <w:spacing w:line="360" w:lineRule="auto"/>
              <w:ind w:firstLine="480" w:firstLineChars="200"/>
              <w:rPr>
                <w:kern w:val="0"/>
                <w:sz w:val="24"/>
              </w:rPr>
            </w:pPr>
            <w:r>
              <w:rPr>
                <w:rFonts w:hint="eastAsia"/>
                <w:kern w:val="0"/>
                <w:sz w:val="24"/>
              </w:rPr>
              <w:t>道路运输扬尘：参考《清洁生产标准-煤炭采选业》（HJ446-2008）中清洁生产指标要求“由汽车加遮苫将原煤运 进群矿选煤厂的储煤设施。选煤厂到公路间道路必须硬化”，本项目运输车辆在厂外道路行驶过程中，加盖苫布并控制车速，经过敏感地段时减速慢行，减少行使过程扬尘扬散；厂内道路全部硬化，采取洒水抑尘措施，符合《清洁生产标准-煤炭采选业》（HJ446-2008）中的可行技术要求。</w:t>
            </w:r>
          </w:p>
          <w:p>
            <w:pPr>
              <w:adjustRightInd w:val="0"/>
              <w:snapToGrid w:val="0"/>
              <w:spacing w:line="360" w:lineRule="auto"/>
              <w:ind w:firstLine="480" w:firstLineChars="200"/>
              <w:rPr>
                <w:kern w:val="0"/>
                <w:sz w:val="24"/>
              </w:rPr>
            </w:pPr>
            <w:r>
              <w:rPr>
                <w:kern w:val="0"/>
                <w:sz w:val="24"/>
              </w:rPr>
              <w:t>本项目煤炭洗选堆存及输送处理工艺符合《清洁生产标准-煤炭采选业》（HJ446-2008）可行技术要求</w:t>
            </w:r>
            <w:r>
              <w:rPr>
                <w:rFonts w:hint="eastAsia"/>
                <w:kern w:val="0"/>
                <w:sz w:val="24"/>
              </w:rPr>
              <w:t>，采取上述措施后，厂界无组织颗粒物排放浓度满足《煤炭工业污染物排放标准》（GB20426-2006）表5煤炭工业无组织排放限值要求。综上，本项目大气污染物的排放均符合排放标准的有关规定，对周围环境产生的影响较小。</w:t>
            </w:r>
          </w:p>
          <w:p>
            <w:pPr>
              <w:adjustRightInd w:val="0"/>
              <w:snapToGrid w:val="0"/>
              <w:spacing w:line="360" w:lineRule="auto"/>
              <w:ind w:firstLine="481" w:firstLineChars="200"/>
              <w:rPr>
                <w:b/>
                <w:bCs/>
                <w:kern w:val="0"/>
                <w:sz w:val="24"/>
              </w:rPr>
            </w:pPr>
            <w:r>
              <w:rPr>
                <w:rFonts w:hint="eastAsia"/>
                <w:b/>
                <w:bCs/>
                <w:kern w:val="0"/>
                <w:sz w:val="24"/>
              </w:rPr>
              <w:t>4、监测计划</w:t>
            </w:r>
          </w:p>
          <w:p>
            <w:pPr>
              <w:pStyle w:val="93"/>
              <w:spacing w:line="360" w:lineRule="auto"/>
              <w:ind w:firstLine="480"/>
              <w:rPr>
                <w:rFonts w:eastAsia="宋体"/>
                <w:color w:val="auto"/>
              </w:rPr>
            </w:pPr>
            <w:r>
              <w:rPr>
                <w:rFonts w:eastAsia="宋体"/>
                <w:color w:val="auto"/>
              </w:rPr>
              <w:t>依据《排污单位自行监测技术指南 总则》（HJ819-2017）</w:t>
            </w:r>
            <w:r>
              <w:rPr>
                <w:rFonts w:hint="eastAsia" w:eastAsia="宋体"/>
                <w:color w:val="auto"/>
              </w:rPr>
              <w:t>等</w:t>
            </w:r>
            <w:r>
              <w:rPr>
                <w:rFonts w:eastAsia="宋体"/>
                <w:color w:val="auto"/>
              </w:rPr>
              <w:t>要求，本项目大气污染源监测计划见下表。</w:t>
            </w:r>
          </w:p>
          <w:p>
            <w:pPr>
              <w:pStyle w:val="46"/>
              <w:rPr>
                <w:rFonts w:eastAsia="宋体" w:cs="Times New Roman"/>
                <w:bCs/>
                <w:szCs w:val="24"/>
              </w:rPr>
            </w:pPr>
            <w:r>
              <w:rPr>
                <w:rFonts w:eastAsia="宋体" w:cs="Times New Roman"/>
                <w:bCs/>
                <w:szCs w:val="24"/>
              </w:rPr>
              <w:t>表4-</w:t>
            </w:r>
            <w:r>
              <w:rPr>
                <w:rFonts w:hint="eastAsia" w:eastAsia="宋体" w:cs="Times New Roman"/>
                <w:bCs/>
                <w:szCs w:val="24"/>
              </w:rPr>
              <w:t>3</w:t>
            </w:r>
            <w:r>
              <w:rPr>
                <w:rFonts w:eastAsia="宋体" w:cs="Times New Roman"/>
                <w:bCs/>
                <w:szCs w:val="24"/>
              </w:rPr>
              <w:t xml:space="preserve"> 大气污染源监测计划一览表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71"/>
              <w:gridCol w:w="1592"/>
              <w:gridCol w:w="2075"/>
              <w:gridCol w:w="1612"/>
              <w:gridCol w:w="206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61" w:type="pct"/>
                  <w:vAlign w:val="center"/>
                </w:tcPr>
                <w:p>
                  <w:pPr>
                    <w:pStyle w:val="96"/>
                    <w:rPr>
                      <w:rFonts w:eastAsia="宋体"/>
                      <w:color w:val="auto"/>
                    </w:rPr>
                  </w:pPr>
                  <w:r>
                    <w:rPr>
                      <w:rFonts w:eastAsia="宋体"/>
                      <w:color w:val="auto"/>
                    </w:rPr>
                    <w:t>类别</w:t>
                  </w:r>
                </w:p>
              </w:tc>
              <w:tc>
                <w:tcPr>
                  <w:tcW w:w="1006" w:type="pct"/>
                  <w:vAlign w:val="center"/>
                </w:tcPr>
                <w:p>
                  <w:pPr>
                    <w:pStyle w:val="96"/>
                    <w:rPr>
                      <w:rFonts w:eastAsia="宋体"/>
                      <w:color w:val="auto"/>
                    </w:rPr>
                  </w:pPr>
                  <w:r>
                    <w:rPr>
                      <w:rFonts w:eastAsia="宋体"/>
                      <w:color w:val="auto"/>
                    </w:rPr>
                    <w:t>监测项目</w:t>
                  </w:r>
                </w:p>
              </w:tc>
              <w:tc>
                <w:tcPr>
                  <w:tcW w:w="1311" w:type="pct"/>
                  <w:vAlign w:val="center"/>
                </w:tcPr>
                <w:p>
                  <w:pPr>
                    <w:pStyle w:val="96"/>
                    <w:rPr>
                      <w:rFonts w:eastAsia="宋体"/>
                      <w:color w:val="auto"/>
                    </w:rPr>
                  </w:pPr>
                  <w:r>
                    <w:rPr>
                      <w:rFonts w:eastAsia="宋体"/>
                      <w:color w:val="auto"/>
                    </w:rPr>
                    <w:t>监测位置</w:t>
                  </w:r>
                </w:p>
              </w:tc>
              <w:tc>
                <w:tcPr>
                  <w:tcW w:w="1018" w:type="pct"/>
                  <w:vAlign w:val="center"/>
                </w:tcPr>
                <w:p>
                  <w:pPr>
                    <w:pStyle w:val="96"/>
                    <w:rPr>
                      <w:rFonts w:eastAsia="宋体"/>
                      <w:color w:val="auto"/>
                    </w:rPr>
                  </w:pPr>
                  <w:r>
                    <w:rPr>
                      <w:rFonts w:eastAsia="宋体"/>
                      <w:color w:val="auto"/>
                    </w:rPr>
                    <w:t>监测频率</w:t>
                  </w:r>
                </w:p>
              </w:tc>
              <w:tc>
                <w:tcPr>
                  <w:tcW w:w="1304" w:type="pct"/>
                  <w:vAlign w:val="center"/>
                </w:tcPr>
                <w:p>
                  <w:pPr>
                    <w:pStyle w:val="96"/>
                    <w:rPr>
                      <w:rFonts w:eastAsia="宋体"/>
                      <w:color w:val="auto"/>
                    </w:rPr>
                  </w:pPr>
                  <w:r>
                    <w:rPr>
                      <w:rFonts w:hint="eastAsia" w:eastAsia="宋体"/>
                      <w:color w:val="auto"/>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361" w:type="pct"/>
                  <w:vAlign w:val="center"/>
                </w:tcPr>
                <w:p>
                  <w:pPr>
                    <w:pStyle w:val="96"/>
                    <w:rPr>
                      <w:rFonts w:eastAsia="宋体"/>
                      <w:color w:val="auto"/>
                    </w:rPr>
                  </w:pPr>
                  <w:r>
                    <w:rPr>
                      <w:rFonts w:eastAsia="宋体"/>
                      <w:color w:val="auto"/>
                    </w:rPr>
                    <w:t>废气</w:t>
                  </w:r>
                </w:p>
              </w:tc>
              <w:tc>
                <w:tcPr>
                  <w:tcW w:w="1006" w:type="pct"/>
                  <w:vAlign w:val="center"/>
                </w:tcPr>
                <w:p>
                  <w:pPr>
                    <w:pStyle w:val="96"/>
                    <w:rPr>
                      <w:rFonts w:eastAsia="宋体"/>
                      <w:color w:val="auto"/>
                      <w:vertAlign w:val="subscript"/>
                    </w:rPr>
                  </w:pPr>
                  <w:r>
                    <w:rPr>
                      <w:rFonts w:eastAsia="宋体"/>
                      <w:color w:val="auto"/>
                    </w:rPr>
                    <w:t>颗粒物</w:t>
                  </w:r>
                </w:p>
              </w:tc>
              <w:tc>
                <w:tcPr>
                  <w:tcW w:w="1311" w:type="pct"/>
                  <w:vAlign w:val="center"/>
                </w:tcPr>
                <w:p>
                  <w:pPr>
                    <w:pStyle w:val="96"/>
                    <w:rPr>
                      <w:rFonts w:eastAsia="宋体"/>
                      <w:color w:val="auto"/>
                    </w:rPr>
                  </w:pPr>
                  <w:r>
                    <w:rPr>
                      <w:rFonts w:hint="eastAsia" w:eastAsia="宋体"/>
                      <w:color w:val="auto"/>
                    </w:rPr>
                    <w:t>厂界上风向设置</w:t>
                  </w:r>
                  <w:r>
                    <w:rPr>
                      <w:rFonts w:eastAsia="宋体"/>
                      <w:color w:val="auto"/>
                    </w:rPr>
                    <w:t>1</w:t>
                  </w:r>
                  <w:r>
                    <w:rPr>
                      <w:rFonts w:hint="eastAsia" w:eastAsia="宋体"/>
                      <w:color w:val="auto"/>
                    </w:rPr>
                    <w:t>点下风向设置</w:t>
                  </w:r>
                  <w:r>
                    <w:rPr>
                      <w:rFonts w:eastAsia="宋体"/>
                      <w:color w:val="auto"/>
                    </w:rPr>
                    <w:t>3</w:t>
                  </w:r>
                  <w:r>
                    <w:rPr>
                      <w:rFonts w:hint="eastAsia" w:eastAsia="宋体"/>
                      <w:color w:val="auto"/>
                    </w:rPr>
                    <w:t>点</w:t>
                  </w:r>
                </w:p>
              </w:tc>
              <w:tc>
                <w:tcPr>
                  <w:tcW w:w="1018" w:type="pct"/>
                  <w:vAlign w:val="center"/>
                </w:tcPr>
                <w:p>
                  <w:pPr>
                    <w:pStyle w:val="96"/>
                    <w:rPr>
                      <w:rFonts w:eastAsia="宋体"/>
                      <w:color w:val="auto"/>
                    </w:rPr>
                  </w:pPr>
                  <w:r>
                    <w:rPr>
                      <w:rFonts w:eastAsia="宋体"/>
                      <w:color w:val="auto"/>
                    </w:rPr>
                    <w:t>1次/年</w:t>
                  </w:r>
                </w:p>
              </w:tc>
              <w:tc>
                <w:tcPr>
                  <w:tcW w:w="1304" w:type="pct"/>
                  <w:vAlign w:val="center"/>
                </w:tcPr>
                <w:p>
                  <w:pPr>
                    <w:pStyle w:val="96"/>
                    <w:rPr>
                      <w:rFonts w:eastAsia="宋体"/>
                      <w:color w:val="auto"/>
                    </w:rPr>
                  </w:pPr>
                  <w:r>
                    <w:rPr>
                      <w:rFonts w:hint="eastAsia" w:eastAsia="宋体"/>
                      <w:color w:val="auto"/>
                    </w:rPr>
                    <w:t>《煤炭工业污染物排放标准》（</w:t>
                  </w:r>
                  <w:r>
                    <w:rPr>
                      <w:rFonts w:eastAsia="宋体"/>
                      <w:color w:val="auto"/>
                    </w:rPr>
                    <w:t>GB20426-2006</w:t>
                  </w:r>
                  <w:r>
                    <w:rPr>
                      <w:rFonts w:hint="eastAsia" w:eastAsia="宋体"/>
                      <w:color w:val="auto"/>
                    </w:rPr>
                    <w:t>）中表 5 规定的煤炭工业作业场所无组织排放限值</w:t>
                  </w:r>
                </w:p>
              </w:tc>
            </w:tr>
          </w:tbl>
          <w:p>
            <w:pPr>
              <w:pStyle w:val="93"/>
              <w:spacing w:line="360" w:lineRule="auto"/>
              <w:ind w:firstLine="480"/>
              <w:rPr>
                <w:color w:val="auto"/>
              </w:rPr>
            </w:pPr>
          </w:p>
        </w:tc>
      </w:tr>
    </w:tbl>
    <w:p>
      <w:pPr>
        <w:pStyle w:val="15"/>
        <w:adjustRightInd w:val="0"/>
        <w:snapToGrid w:val="0"/>
        <w:spacing w:before="0" w:beforeAutospacing="0" w:after="0" w:afterAutospacing="0"/>
        <w:ind w:firstLine="360" w:firstLineChars="100"/>
        <w:outlineLvl w:val="0"/>
        <w:rPr>
          <w:rFonts w:ascii="Times New Roman" w:hAnsi="Times New Roman"/>
          <w:snapToGrid w:val="0"/>
          <w:sz w:val="36"/>
          <w:szCs w:val="36"/>
        </w:rPr>
        <w:sectPr>
          <w:pgSz w:w="11907" w:h="16840"/>
          <w:pgMar w:top="1701" w:right="1531" w:bottom="2127" w:left="1531" w:header="851" w:footer="851" w:gutter="0"/>
          <w:cols w:space="720" w:num="1"/>
          <w:docGrid w:linePitch="312" w:charSpace="0"/>
        </w:sectPr>
      </w:pPr>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9"/>
        <w:gridCol w:w="81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80" w:hRule="atLeast"/>
          <w:jc w:val="center"/>
        </w:trPr>
        <w:tc>
          <w:tcPr>
            <w:tcW w:w="699" w:type="dxa"/>
            <w:tcMar>
              <w:left w:w="28" w:type="dxa"/>
              <w:right w:w="28" w:type="dxa"/>
            </w:tcMar>
            <w:vAlign w:val="center"/>
          </w:tcPr>
          <w:p>
            <w:pPr>
              <w:jc w:val="center"/>
              <w:rPr>
                <w:bCs/>
                <w:sz w:val="24"/>
              </w:rPr>
            </w:pPr>
            <w:r>
              <w:rPr>
                <w:bCs/>
                <w:sz w:val="24"/>
              </w:rPr>
              <w:t>运营</w:t>
            </w:r>
          </w:p>
          <w:p>
            <w:pPr>
              <w:jc w:val="center"/>
              <w:rPr>
                <w:bCs/>
                <w:sz w:val="24"/>
              </w:rPr>
            </w:pPr>
            <w:r>
              <w:rPr>
                <w:bCs/>
                <w:sz w:val="24"/>
              </w:rPr>
              <w:t>期环</w:t>
            </w:r>
          </w:p>
          <w:p>
            <w:pPr>
              <w:jc w:val="center"/>
              <w:rPr>
                <w:bCs/>
                <w:sz w:val="24"/>
              </w:rPr>
            </w:pPr>
            <w:r>
              <w:rPr>
                <w:bCs/>
                <w:sz w:val="24"/>
              </w:rPr>
              <w:t>境影</w:t>
            </w:r>
          </w:p>
          <w:p>
            <w:pPr>
              <w:jc w:val="center"/>
              <w:rPr>
                <w:bCs/>
                <w:sz w:val="24"/>
              </w:rPr>
            </w:pPr>
            <w:r>
              <w:rPr>
                <w:bCs/>
                <w:sz w:val="24"/>
              </w:rPr>
              <w:t>响和</w:t>
            </w:r>
          </w:p>
          <w:p>
            <w:pPr>
              <w:jc w:val="center"/>
              <w:rPr>
                <w:bCs/>
                <w:sz w:val="24"/>
              </w:rPr>
            </w:pPr>
            <w:r>
              <w:rPr>
                <w:bCs/>
                <w:sz w:val="24"/>
              </w:rPr>
              <w:t>保护</w:t>
            </w:r>
          </w:p>
          <w:p>
            <w:pPr>
              <w:jc w:val="center"/>
              <w:rPr>
                <w:bCs/>
                <w:sz w:val="24"/>
              </w:rPr>
            </w:pPr>
            <w:r>
              <w:rPr>
                <w:bCs/>
                <w:sz w:val="24"/>
              </w:rPr>
              <w:t>措施</w:t>
            </w:r>
          </w:p>
        </w:tc>
        <w:tc>
          <w:tcPr>
            <w:tcW w:w="8126" w:type="dxa"/>
          </w:tcPr>
          <w:p>
            <w:pPr>
              <w:pStyle w:val="52"/>
              <w:ind w:firstLine="482"/>
              <w:rPr>
                <w:rFonts w:cs="Times New Roman"/>
                <w:b/>
                <w:bCs/>
                <w:color w:val="auto"/>
                <w:sz w:val="24"/>
              </w:rPr>
            </w:pPr>
            <w:r>
              <w:rPr>
                <w:rFonts w:cs="Times New Roman"/>
                <w:b/>
                <w:bCs/>
                <w:color w:val="auto"/>
                <w:sz w:val="24"/>
              </w:rPr>
              <w:t>二、废水环境影响和保护措施</w:t>
            </w:r>
          </w:p>
          <w:p>
            <w:pPr>
              <w:pStyle w:val="52"/>
              <w:ind w:firstLine="482"/>
              <w:rPr>
                <w:rFonts w:cs="Times New Roman"/>
                <w:b/>
                <w:bCs/>
                <w:color w:val="auto"/>
                <w:sz w:val="24"/>
              </w:rPr>
            </w:pPr>
            <w:r>
              <w:rPr>
                <w:rFonts w:hint="eastAsia" w:cs="Times New Roman"/>
                <w:b/>
                <w:bCs/>
                <w:color w:val="auto"/>
                <w:sz w:val="24"/>
              </w:rPr>
              <w:t>（一）主要污染物及源强</w:t>
            </w:r>
          </w:p>
          <w:p>
            <w:pPr>
              <w:pStyle w:val="52"/>
              <w:ind w:firstLine="480"/>
              <w:rPr>
                <w:rFonts w:cs="Times New Roman"/>
                <w:color w:val="auto"/>
                <w:sz w:val="24"/>
              </w:rPr>
            </w:pPr>
            <w:r>
              <w:rPr>
                <w:rFonts w:hint="eastAsia" w:cs="Times New Roman"/>
                <w:color w:val="auto"/>
                <w:sz w:val="24"/>
              </w:rPr>
              <w:t>1、生活污水</w:t>
            </w:r>
          </w:p>
          <w:p>
            <w:pPr>
              <w:pStyle w:val="52"/>
              <w:ind w:firstLine="480"/>
              <w:rPr>
                <w:rFonts w:cs="Times New Roman"/>
                <w:color w:val="auto"/>
                <w:sz w:val="24"/>
              </w:rPr>
            </w:pPr>
            <w:r>
              <w:rPr>
                <w:rFonts w:hint="eastAsia" w:cs="Times New Roman"/>
                <w:color w:val="auto"/>
                <w:sz w:val="24"/>
              </w:rPr>
              <w:t>生活污水量按用水量80%计算，则废水量为0.512t/d，153.6t/a。生活污水中污染物主要为COD 300mg/L、BOD</w:t>
            </w:r>
            <w:r>
              <w:rPr>
                <w:rFonts w:hint="eastAsia" w:cs="Times New Roman"/>
                <w:color w:val="auto"/>
                <w:sz w:val="24"/>
                <w:vertAlign w:val="subscript"/>
              </w:rPr>
              <w:t>5</w:t>
            </w:r>
            <w:r>
              <w:rPr>
                <w:rFonts w:hint="eastAsia" w:cs="Times New Roman"/>
                <w:color w:val="auto"/>
                <w:sz w:val="24"/>
              </w:rPr>
              <w:t xml:space="preserve"> 200mg/L、SS 200mg/L、NH</w:t>
            </w:r>
            <w:r>
              <w:rPr>
                <w:rFonts w:hint="eastAsia" w:cs="Times New Roman"/>
                <w:color w:val="auto"/>
                <w:sz w:val="24"/>
                <w:vertAlign w:val="subscript"/>
              </w:rPr>
              <w:t>3</w:t>
            </w:r>
            <w:r>
              <w:rPr>
                <w:rFonts w:hint="eastAsia" w:cs="Times New Roman"/>
                <w:color w:val="auto"/>
                <w:sz w:val="24"/>
              </w:rPr>
              <w:t>-N 25mg/L。则生活污水污染物量为COD 0.046t/a、BOD</w:t>
            </w:r>
            <w:r>
              <w:rPr>
                <w:rFonts w:hint="eastAsia" w:cs="Times New Roman"/>
                <w:color w:val="auto"/>
                <w:sz w:val="24"/>
                <w:vertAlign w:val="subscript"/>
              </w:rPr>
              <w:t>5</w:t>
            </w:r>
            <w:r>
              <w:rPr>
                <w:rFonts w:hint="eastAsia" w:cs="Times New Roman"/>
                <w:color w:val="auto"/>
                <w:sz w:val="24"/>
              </w:rPr>
              <w:t xml:space="preserve"> 0.031t/a、SS 0.031t/a、NH</w:t>
            </w:r>
            <w:r>
              <w:rPr>
                <w:rFonts w:hint="eastAsia" w:cs="Times New Roman"/>
                <w:color w:val="auto"/>
                <w:sz w:val="24"/>
                <w:vertAlign w:val="subscript"/>
              </w:rPr>
              <w:t>3</w:t>
            </w:r>
            <w:r>
              <w:rPr>
                <w:rFonts w:hint="eastAsia" w:cs="Times New Roman"/>
                <w:color w:val="auto"/>
                <w:sz w:val="24"/>
              </w:rPr>
              <w:t>-N 0.004t/a。生活污水排入厂区内防渗旱厕，定期清掏，外运堆肥，不外排。</w:t>
            </w:r>
          </w:p>
          <w:p>
            <w:pPr>
              <w:pStyle w:val="52"/>
              <w:ind w:firstLine="480"/>
              <w:rPr>
                <w:rFonts w:cs="Times New Roman"/>
                <w:color w:val="auto"/>
                <w:sz w:val="24"/>
              </w:rPr>
            </w:pPr>
            <w:r>
              <w:rPr>
                <w:rFonts w:hint="eastAsia" w:cs="Times New Roman"/>
                <w:color w:val="auto"/>
                <w:sz w:val="24"/>
              </w:rPr>
              <w:t>2、洗煤废水</w:t>
            </w:r>
          </w:p>
          <w:p>
            <w:pPr>
              <w:pStyle w:val="52"/>
              <w:ind w:firstLine="480"/>
              <w:rPr>
                <w:rFonts w:cs="Times New Roman"/>
                <w:color w:val="auto"/>
                <w:sz w:val="24"/>
              </w:rPr>
            </w:pPr>
            <w:r>
              <w:rPr>
                <w:rFonts w:hint="eastAsia" w:cs="Times New Roman"/>
                <w:color w:val="auto"/>
                <w:sz w:val="24"/>
              </w:rPr>
              <w:t>本项目洗煤废水采用闭路循环水洗煤工艺，不外排，洗煤废水经过沉淀池投加絮凝剂，使细小的颗粒絮凝沉淀，上清液循环用于生产。根据黑龙江省地方标准《用水定额》（DB23/T727-2021），参照烟煤和无烟煤的开采洗选用水量中动力煤选煤厂数据，按先进值0.06m</w:t>
            </w:r>
            <w:r>
              <w:rPr>
                <w:rFonts w:hint="eastAsia" w:cs="Times New Roman"/>
                <w:color w:val="auto"/>
                <w:sz w:val="24"/>
                <w:vertAlign w:val="superscript"/>
              </w:rPr>
              <w:t>3</w:t>
            </w:r>
            <w:r>
              <w:rPr>
                <w:rFonts w:hint="eastAsia" w:cs="Times New Roman"/>
                <w:color w:val="auto"/>
                <w:sz w:val="24"/>
              </w:rPr>
              <w:t>/t计算，本项目洗选原煤量为30万吨/年，因此本项目洗煤用水循环补充水量为18000t/a，60t/d。</w:t>
            </w:r>
          </w:p>
          <w:p>
            <w:pPr>
              <w:pStyle w:val="52"/>
              <w:ind w:firstLine="480"/>
              <w:rPr>
                <w:rFonts w:cs="Times New Roman"/>
                <w:color w:val="auto"/>
                <w:sz w:val="24"/>
              </w:rPr>
            </w:pPr>
            <w:r>
              <w:rPr>
                <w:rFonts w:hint="eastAsia" w:cs="Times New Roman"/>
                <w:color w:val="auto"/>
                <w:sz w:val="24"/>
              </w:rPr>
              <w:t>该部分补水量属于循环系统中因自然蒸发和产品带出水份损失的水量。由于洗煤工艺产品会带出一定水分，同时循环过程中自然蒸发会使得循环用水发生损耗，参考《煤炭洗选工程设计规范》（GB50359-2016）中“补充水量可按循环水量的10%计算”，因此本项目洗煤用水综合损耗量按10%计算，则生产循环用水量为180000t/a，300t/d。该部分废水中的污染物主要包括COD、BOD</w:t>
            </w:r>
            <w:r>
              <w:rPr>
                <w:rFonts w:hint="eastAsia" w:cs="Times New Roman"/>
                <w:color w:val="auto"/>
                <w:sz w:val="24"/>
                <w:vertAlign w:val="subscript"/>
              </w:rPr>
              <w:t>5</w:t>
            </w:r>
            <w:r>
              <w:rPr>
                <w:rFonts w:hint="eastAsia" w:cs="Times New Roman"/>
                <w:color w:val="auto"/>
                <w:sz w:val="24"/>
              </w:rPr>
              <w:t>、SS，石油类等。</w:t>
            </w:r>
          </w:p>
          <w:p>
            <w:pPr>
              <w:pStyle w:val="52"/>
              <w:ind w:firstLine="480"/>
              <w:rPr>
                <w:rFonts w:cs="Times New Roman"/>
                <w:color w:val="auto"/>
                <w:sz w:val="24"/>
              </w:rPr>
            </w:pPr>
            <w:r>
              <w:rPr>
                <w:rFonts w:hint="eastAsia" w:cs="Times New Roman"/>
                <w:color w:val="auto"/>
                <w:sz w:val="24"/>
              </w:rPr>
              <w:t>洗煤废水经浓缩、压滤后，全部回用于洗煤工序，不外排，实现闭路循环，实际上水的消耗量只是产品带走的水与少量蒸发损耗的水。</w:t>
            </w:r>
          </w:p>
          <w:p>
            <w:pPr>
              <w:pStyle w:val="52"/>
              <w:ind w:firstLine="480"/>
              <w:rPr>
                <w:rFonts w:cs="Times New Roman"/>
                <w:color w:val="auto"/>
                <w:sz w:val="24"/>
              </w:rPr>
            </w:pPr>
            <w:r>
              <w:rPr>
                <w:rFonts w:hint="eastAsia" w:cs="Times New Roman"/>
                <w:color w:val="auto"/>
                <w:sz w:val="24"/>
              </w:rPr>
              <w:t>3、车间冲洗废水</w:t>
            </w:r>
          </w:p>
          <w:p>
            <w:pPr>
              <w:pStyle w:val="52"/>
              <w:ind w:firstLine="480"/>
              <w:rPr>
                <w:rFonts w:cs="Times New Roman"/>
                <w:color w:val="auto"/>
                <w:sz w:val="24"/>
              </w:rPr>
            </w:pPr>
            <w:r>
              <w:rPr>
                <w:rFonts w:hint="eastAsia" w:cs="Times New Roman"/>
                <w:color w:val="auto"/>
                <w:sz w:val="24"/>
              </w:rPr>
              <w:t>项日生产车间地面需用水清洗，根据《煤炭洗选工程设计规范》（GB50359-2016）室内地面冲洗给水定额，对原煤和干煤产品（除矸石外）生产系统，可为4L/（m</w:t>
            </w:r>
            <w:r>
              <w:rPr>
                <w:rFonts w:hint="eastAsia" w:cs="Times New Roman"/>
                <w:color w:val="auto"/>
                <w:sz w:val="24"/>
                <w:vertAlign w:val="superscript"/>
              </w:rPr>
              <w:t>2</w:t>
            </w:r>
            <w:r>
              <w:rPr>
                <w:rFonts w:hint="eastAsia" w:cs="Times New Roman"/>
                <w:color w:val="auto"/>
                <w:sz w:val="24"/>
              </w:rPr>
              <w:t>·次）~6L/（m</w:t>
            </w:r>
            <w:r>
              <w:rPr>
                <w:rFonts w:hint="eastAsia" w:cs="Times New Roman"/>
                <w:color w:val="auto"/>
                <w:sz w:val="24"/>
                <w:vertAlign w:val="superscript"/>
              </w:rPr>
              <w:t>2</w:t>
            </w:r>
            <w:r>
              <w:rPr>
                <w:rFonts w:hint="eastAsia" w:cs="Times New Roman"/>
                <w:color w:val="auto"/>
                <w:sz w:val="24"/>
              </w:rPr>
              <w:t>·次），按最严要求取值为4L/（m</w:t>
            </w:r>
            <w:r>
              <w:rPr>
                <w:rFonts w:hint="eastAsia" w:cs="Times New Roman"/>
                <w:color w:val="auto"/>
                <w:sz w:val="24"/>
                <w:vertAlign w:val="superscript"/>
              </w:rPr>
              <w:t>2</w:t>
            </w:r>
            <w:r>
              <w:rPr>
                <w:rFonts w:hint="eastAsia" w:cs="Times New Roman"/>
                <w:color w:val="auto"/>
                <w:sz w:val="24"/>
              </w:rPr>
              <w:t>·次），本项目车间地面冲洗用水为12t/d，3600t/a。</w:t>
            </w:r>
          </w:p>
          <w:p>
            <w:pPr>
              <w:pStyle w:val="52"/>
              <w:ind w:firstLine="480"/>
              <w:rPr>
                <w:rFonts w:cs="Times New Roman"/>
                <w:color w:val="auto"/>
                <w:sz w:val="24"/>
              </w:rPr>
            </w:pPr>
            <w:r>
              <w:rPr>
                <w:rFonts w:hint="eastAsia" w:cs="Times New Roman"/>
                <w:color w:val="auto"/>
                <w:sz w:val="24"/>
              </w:rPr>
              <w:t>车间地面冲洗废水排入循环沉淀池，经浓缩机处理后回用于生产，不外排。</w:t>
            </w:r>
          </w:p>
          <w:p>
            <w:pPr>
              <w:pStyle w:val="52"/>
              <w:ind w:firstLine="480"/>
              <w:rPr>
                <w:rFonts w:cs="Times New Roman"/>
                <w:color w:val="auto"/>
                <w:sz w:val="24"/>
              </w:rPr>
            </w:pPr>
            <w:r>
              <w:rPr>
                <w:rFonts w:hint="eastAsia" w:cs="Times New Roman"/>
                <w:color w:val="auto"/>
                <w:sz w:val="24"/>
              </w:rPr>
              <w:t>4、洒水降尘水</w:t>
            </w:r>
          </w:p>
          <w:p>
            <w:pPr>
              <w:pStyle w:val="52"/>
              <w:ind w:firstLine="480"/>
              <w:rPr>
                <w:rFonts w:cs="Times New Roman"/>
                <w:color w:val="auto"/>
                <w:sz w:val="24"/>
              </w:rPr>
            </w:pPr>
            <w:r>
              <w:rPr>
                <w:rFonts w:hint="eastAsia" w:cs="Times New Roman"/>
                <w:color w:val="auto"/>
                <w:sz w:val="24"/>
              </w:rPr>
              <w:t>厂区洒水降尘用水全部蒸发损耗，不外排。</w:t>
            </w:r>
          </w:p>
          <w:p>
            <w:pPr>
              <w:pStyle w:val="52"/>
              <w:ind w:firstLine="480"/>
              <w:rPr>
                <w:rFonts w:cs="Times New Roman"/>
                <w:color w:val="auto"/>
                <w:sz w:val="24"/>
              </w:rPr>
            </w:pPr>
            <w:r>
              <w:rPr>
                <w:rFonts w:hint="eastAsia" w:cs="Times New Roman"/>
                <w:color w:val="auto"/>
                <w:sz w:val="24"/>
              </w:rPr>
              <w:t>5、压滤机清洗废水产生量按用水量的80%计，则压滤机冲洗废水量为0.8t/d，240t/a，压滤机清洗废水排入循环沉淀池，经浓缩机处理后回用于生产，不外排。</w:t>
            </w:r>
          </w:p>
          <w:p>
            <w:pPr>
              <w:pStyle w:val="52"/>
              <w:ind w:firstLine="480"/>
              <w:rPr>
                <w:rFonts w:cs="Times New Roman"/>
                <w:color w:val="auto"/>
                <w:sz w:val="24"/>
              </w:rPr>
            </w:pPr>
            <w:r>
              <w:rPr>
                <w:rFonts w:hint="eastAsia" w:cs="Times New Roman"/>
                <w:color w:val="auto"/>
                <w:sz w:val="24"/>
              </w:rPr>
              <w:t>6、车辆冲洗废水</w:t>
            </w:r>
          </w:p>
          <w:p>
            <w:pPr>
              <w:pStyle w:val="52"/>
              <w:ind w:firstLine="480"/>
              <w:rPr>
                <w:rFonts w:cs="Times New Roman"/>
                <w:color w:val="auto"/>
                <w:sz w:val="24"/>
              </w:rPr>
            </w:pPr>
            <w:r>
              <w:rPr>
                <w:rFonts w:hint="eastAsia" w:cs="Times New Roman"/>
                <w:color w:val="auto"/>
                <w:sz w:val="24"/>
              </w:rPr>
              <w:t>车辆冲洗废水按用水量的80%计，则车辆冲洗废水量为12.8t/d。废水通过排水管道排入循环沉淀池，经浓缩机处理后回用于生产不外排。</w:t>
            </w:r>
          </w:p>
          <w:p>
            <w:pPr>
              <w:pStyle w:val="52"/>
              <w:ind w:firstLine="480"/>
              <w:rPr>
                <w:rFonts w:cs="Times New Roman"/>
                <w:color w:val="auto"/>
                <w:sz w:val="24"/>
              </w:rPr>
            </w:pPr>
            <w:r>
              <w:rPr>
                <w:rFonts w:hint="eastAsia" w:cs="Times New Roman"/>
                <w:color w:val="auto"/>
                <w:sz w:val="24"/>
              </w:rPr>
              <w:t>7、初期雨水</w:t>
            </w:r>
          </w:p>
          <w:p>
            <w:pPr>
              <w:pStyle w:val="52"/>
              <w:ind w:firstLine="480"/>
              <w:rPr>
                <w:rFonts w:cs="Times New Roman"/>
                <w:color w:val="auto"/>
                <w:sz w:val="24"/>
              </w:rPr>
            </w:pPr>
            <w:r>
              <w:rPr>
                <w:rFonts w:hint="eastAsia" w:cs="Times New Roman"/>
                <w:color w:val="auto"/>
                <w:sz w:val="24"/>
              </w:rPr>
              <w:t>收集后的雨水导入初期雨水收集池，沉淀后用于厂区洒水抑尘。（本项目矸石为暂存，随产随运，不会产生的大量溶淋液，主要为雨水冲刷产生的溶淋液（以初期雨水计）。</w:t>
            </w:r>
          </w:p>
          <w:p>
            <w:pPr>
              <w:pStyle w:val="52"/>
              <w:ind w:firstLine="482"/>
              <w:rPr>
                <w:rFonts w:cs="Times New Roman"/>
                <w:b/>
                <w:bCs/>
                <w:color w:val="auto"/>
                <w:sz w:val="24"/>
              </w:rPr>
            </w:pPr>
            <w:r>
              <w:rPr>
                <w:rFonts w:hint="eastAsia" w:cs="Times New Roman"/>
                <w:b/>
                <w:bCs/>
                <w:color w:val="auto"/>
                <w:sz w:val="24"/>
              </w:rPr>
              <w:t>（二）非正常工况</w:t>
            </w:r>
          </w:p>
          <w:p>
            <w:pPr>
              <w:pStyle w:val="52"/>
              <w:ind w:firstLine="480"/>
              <w:rPr>
                <w:rFonts w:cs="Times New Roman"/>
                <w:color w:val="auto"/>
                <w:sz w:val="24"/>
              </w:rPr>
            </w:pPr>
            <w:r>
              <w:rPr>
                <w:rFonts w:hint="eastAsia" w:cs="Times New Roman"/>
                <w:color w:val="auto"/>
                <w:sz w:val="24"/>
              </w:rPr>
              <w:t>根据《煤炭洗选工程设计规范》（GB50359-2016）中7.3.2，事故煤泥水处理设施，宜选用事故浓缩机，事故浓缩机应与最大一台工作浓缩机同型号，并可与工作浓缩机互为备用。</w:t>
            </w:r>
          </w:p>
          <w:p>
            <w:pPr>
              <w:pStyle w:val="52"/>
              <w:ind w:firstLine="480"/>
              <w:rPr>
                <w:rFonts w:cs="Times New Roman"/>
                <w:color w:val="auto"/>
                <w:sz w:val="24"/>
              </w:rPr>
            </w:pPr>
            <w:r>
              <w:rPr>
                <w:rFonts w:hint="eastAsia" w:cs="Times New Roman"/>
                <w:color w:val="auto"/>
                <w:sz w:val="24"/>
              </w:rPr>
              <w:t>为避免事故性废水外排，本项目额外设置1台备用事故浓缩机作为事故煤泥水应急处理设施，事故浓缩机与工作浓缩机相同型号，最大容积均为120m</w:t>
            </w:r>
            <w:r>
              <w:rPr>
                <w:rFonts w:hint="eastAsia" w:cs="Times New Roman"/>
                <w:color w:val="auto"/>
                <w:sz w:val="24"/>
                <w:vertAlign w:val="superscript"/>
              </w:rPr>
              <w:t>3</w:t>
            </w:r>
            <w:r>
              <w:rPr>
                <w:rFonts w:hint="eastAsia" w:cs="Times New Roman"/>
                <w:color w:val="auto"/>
                <w:sz w:val="24"/>
              </w:rPr>
              <w:t>，可满足事故状态下的废水临时储存，一旦发生事故，所有生产设备全部停止运作，此时洗煤废水排入事故浓缩机，谨防生产废水外排，本项目事故煤泥水在事故处理完毕后，能够及时返回到煤泥水系统循环中，不外排。</w:t>
            </w:r>
          </w:p>
          <w:p>
            <w:pPr>
              <w:pStyle w:val="52"/>
              <w:ind w:firstLine="480"/>
              <w:rPr>
                <w:rFonts w:cs="Times New Roman"/>
                <w:color w:val="auto"/>
                <w:sz w:val="24"/>
              </w:rPr>
            </w:pPr>
            <w:r>
              <w:rPr>
                <w:rFonts w:hint="eastAsia" w:cs="Times New Roman"/>
                <w:color w:val="auto"/>
                <w:sz w:val="24"/>
              </w:rPr>
              <w:t>因此本项目废水非正常工况该措施满足《煤炭洗选工程设计规范》（GB50359-2016）中相关要求。</w:t>
            </w:r>
          </w:p>
          <w:p>
            <w:pPr>
              <w:pStyle w:val="52"/>
              <w:ind w:firstLine="482"/>
              <w:rPr>
                <w:rFonts w:cs="Times New Roman"/>
                <w:b/>
                <w:bCs/>
                <w:color w:val="auto"/>
                <w:sz w:val="24"/>
              </w:rPr>
            </w:pPr>
            <w:r>
              <w:rPr>
                <w:rFonts w:hint="eastAsia" w:cs="Times New Roman"/>
                <w:b/>
                <w:bCs/>
                <w:color w:val="auto"/>
                <w:sz w:val="24"/>
              </w:rPr>
              <w:t>（三）废水闭路循环可行性分析</w:t>
            </w:r>
          </w:p>
          <w:p>
            <w:pPr>
              <w:pStyle w:val="52"/>
              <w:ind w:firstLine="480"/>
              <w:rPr>
                <w:rFonts w:cs="Times New Roman"/>
                <w:color w:val="auto"/>
                <w:sz w:val="24"/>
              </w:rPr>
            </w:pPr>
            <w:r>
              <w:rPr>
                <w:rFonts w:hint="eastAsia" w:cs="Times New Roman"/>
                <w:color w:val="auto"/>
                <w:sz w:val="24"/>
              </w:rPr>
              <w:t>本项目为洗煤厂建设项目，煤炭洗选为亏水工艺，需补充新鲜水，本项目于浓缩处理工艺配套建设的回水系统能够保证项目各项废水</w:t>
            </w:r>
            <w:bookmarkStart w:id="21" w:name="_Hlk211952596"/>
            <w:r>
              <w:rPr>
                <w:rFonts w:hint="eastAsia" w:cs="Times New Roman"/>
                <w:color w:val="auto"/>
                <w:sz w:val="24"/>
              </w:rPr>
              <w:t>能够实现动态平衡，全部闭路循环使用可行</w:t>
            </w:r>
            <w:bookmarkStart w:id="22" w:name="_Hlk211952602"/>
            <w:r>
              <w:rPr>
                <w:rFonts w:hint="eastAsia" w:cs="Times New Roman"/>
                <w:color w:val="auto"/>
                <w:sz w:val="24"/>
              </w:rPr>
              <w:t>，</w:t>
            </w:r>
            <w:bookmarkEnd w:id="21"/>
            <w:r>
              <w:rPr>
                <w:rFonts w:hint="eastAsia" w:cs="Times New Roman"/>
                <w:color w:val="auto"/>
                <w:sz w:val="24"/>
              </w:rPr>
              <w:t>不向厂区外排放</w:t>
            </w:r>
            <w:bookmarkEnd w:id="22"/>
            <w:r>
              <w:rPr>
                <w:rFonts w:hint="eastAsia" w:cs="Times New Roman"/>
                <w:color w:val="auto"/>
                <w:sz w:val="24"/>
              </w:rPr>
              <w:t>。</w:t>
            </w:r>
          </w:p>
          <w:p>
            <w:pPr>
              <w:pStyle w:val="52"/>
              <w:ind w:firstLine="480"/>
              <w:rPr>
                <w:rFonts w:cs="Times New Roman"/>
                <w:color w:val="auto"/>
                <w:sz w:val="24"/>
              </w:rPr>
            </w:pPr>
            <w:r>
              <w:rPr>
                <w:rFonts w:hint="eastAsia" w:cs="Times New Roman"/>
                <w:color w:val="auto"/>
                <w:sz w:val="24"/>
              </w:rPr>
              <w:t>本项目设置1台备用事故浓缩机作为事故煤泥水应急处理设施，事故浓缩机与工作浓缩机相同型号，最大容积均为120m</w:t>
            </w:r>
            <w:r>
              <w:rPr>
                <w:rFonts w:hint="eastAsia" w:cs="Times New Roman"/>
                <w:color w:val="auto"/>
                <w:sz w:val="24"/>
                <w:vertAlign w:val="superscript"/>
              </w:rPr>
              <w:t>3</w:t>
            </w:r>
            <w:r>
              <w:rPr>
                <w:rFonts w:hint="eastAsia" w:cs="Times New Roman"/>
                <w:color w:val="auto"/>
                <w:sz w:val="24"/>
              </w:rPr>
              <w:t>，可满足事故状态下的废水临时储存，一旦发生事故，所有生产设备全部停止运作，此时洗煤废水排入事故浓缩机，谨防生产废水外排，本项目事故煤泥水在事故处理完毕后，能够及时返回到煤泥水系统循环中，不外排。</w:t>
            </w:r>
          </w:p>
          <w:p>
            <w:pPr>
              <w:pStyle w:val="52"/>
              <w:ind w:firstLine="480"/>
              <w:rPr>
                <w:rFonts w:cs="Times New Roman"/>
                <w:color w:val="auto"/>
                <w:sz w:val="24"/>
              </w:rPr>
            </w:pPr>
            <w:r>
              <w:rPr>
                <w:rFonts w:hint="eastAsia" w:cs="Times New Roman"/>
                <w:color w:val="auto"/>
                <w:sz w:val="24"/>
              </w:rPr>
              <w:t>本项目设置1座循环沉淀池，有效容积不低于600m</w:t>
            </w:r>
            <w:r>
              <w:rPr>
                <w:rFonts w:hint="eastAsia" w:cs="Times New Roman"/>
                <w:color w:val="auto"/>
                <w:sz w:val="24"/>
                <w:vertAlign w:val="superscript"/>
              </w:rPr>
              <w:t>3</w:t>
            </w:r>
            <w:r>
              <w:rPr>
                <w:rFonts w:hint="eastAsia" w:cs="Times New Roman"/>
                <w:color w:val="auto"/>
                <w:sz w:val="24"/>
              </w:rPr>
              <w:t>，配备完备的回水系统，本项目生产废水排入循环沉淀池，经浓缩机处理后回用于生产，不外排。</w:t>
            </w:r>
          </w:p>
          <w:p>
            <w:pPr>
              <w:pStyle w:val="52"/>
              <w:ind w:firstLine="480"/>
              <w:rPr>
                <w:rFonts w:cs="Times New Roman"/>
                <w:color w:val="auto"/>
                <w:sz w:val="24"/>
              </w:rPr>
            </w:pPr>
            <w:r>
              <w:rPr>
                <w:rFonts w:hint="eastAsia" w:cs="Times New Roman"/>
                <w:color w:val="auto"/>
                <w:sz w:val="24"/>
              </w:rPr>
              <w:t>本项目回用水包括洗煤用水。压滤机清洗用水、车间地面冲洗用水、车辆冲洗用水、产品贮存沥水，本项目排入循环沉淀池的总循环水量为378.8t/d，平均每天循环1次，本项目循环沉淀池容积能够满足本项目水量需要。</w:t>
            </w:r>
          </w:p>
          <w:p>
            <w:pPr>
              <w:pStyle w:val="52"/>
              <w:ind w:firstLine="480"/>
              <w:rPr>
                <w:rFonts w:cs="Times New Roman"/>
                <w:color w:val="auto"/>
                <w:sz w:val="24"/>
              </w:rPr>
            </w:pPr>
            <w:r>
              <w:rPr>
                <w:rFonts w:hint="eastAsia" w:cs="Times New Roman"/>
                <w:color w:val="auto"/>
                <w:sz w:val="24"/>
              </w:rPr>
              <w:t>本项目实现洗水一级闭路循环，运行期洗选原煤水耗为0.071立方米/吨，吨入洗原煤补充水量&lt;0.10m</w:t>
            </w:r>
            <w:r>
              <w:rPr>
                <w:rFonts w:hint="eastAsia" w:cs="Times New Roman"/>
                <w:color w:val="auto"/>
                <w:sz w:val="24"/>
                <w:vertAlign w:val="superscript"/>
              </w:rPr>
              <w:t>3</w:t>
            </w:r>
            <w:r>
              <w:rPr>
                <w:rFonts w:hint="eastAsia" w:cs="Times New Roman"/>
                <w:color w:val="auto"/>
                <w:sz w:val="24"/>
              </w:rPr>
              <w:t>，符合《清洁生产标准 煤炭采选业》中洗煤补水量先进值相关要求。</w:t>
            </w:r>
          </w:p>
          <w:p>
            <w:pPr>
              <w:pStyle w:val="52"/>
              <w:ind w:firstLine="480"/>
              <w:rPr>
                <w:rFonts w:cs="Times New Roman"/>
                <w:color w:val="auto"/>
                <w:sz w:val="24"/>
              </w:rPr>
            </w:pPr>
            <w:r>
              <w:rPr>
                <w:rFonts w:hint="eastAsia" w:cs="Times New Roman"/>
                <w:color w:val="auto"/>
                <w:sz w:val="24"/>
              </w:rPr>
              <w:t>项目的煤炭洗选环节与浓缩处理工艺配套建设，水路系统采用封闭的管道进行污水和清水的输送，并设有完备的回水系统，经循环沉淀池处理后的废水能全部回用于厂内使用，经处理后的水质也可满足煤炭洗选用水需求。在正常生产时，各水池的水位保持低水位，防止瞬间水不平衡而产生溢流，致使煤泥水流失。另外，在有水作业的车间设置地面排水集中回收系统，地面排水集中回收系统等装置能够收集设备的跑、冒、滴、漏事故放水和冲洗水，并将此部分水打入煤泥水回收系统。</w:t>
            </w:r>
          </w:p>
          <w:p>
            <w:pPr>
              <w:pStyle w:val="52"/>
              <w:ind w:firstLine="480"/>
              <w:rPr>
                <w:rFonts w:cs="Times New Roman"/>
                <w:color w:val="auto"/>
                <w:sz w:val="24"/>
              </w:rPr>
            </w:pPr>
            <w:bookmarkStart w:id="23" w:name="_Hlk211952581"/>
            <w:r>
              <w:rPr>
                <w:rFonts w:hint="eastAsia" w:cs="Times New Roman"/>
                <w:color w:val="auto"/>
                <w:sz w:val="24"/>
              </w:rPr>
              <w:t>本项目于浓缩处理工艺配套建设的回水系统能够保证项目各项废水在输送环节中废水不外排，实现闭路循环使用。</w:t>
            </w:r>
          </w:p>
          <w:bookmarkEnd w:id="23"/>
          <w:p>
            <w:pPr>
              <w:pStyle w:val="52"/>
              <w:ind w:firstLine="422"/>
              <w:rPr>
                <w:rFonts w:cs="Times New Roman"/>
                <w:b/>
                <w:bCs/>
                <w:color w:val="auto"/>
              </w:rPr>
            </w:pPr>
          </w:p>
        </w:tc>
      </w:tr>
    </w:tbl>
    <w:p>
      <w:pPr>
        <w:sectPr>
          <w:pgSz w:w="11907" w:h="16840"/>
          <w:pgMar w:top="1701" w:right="1531" w:bottom="2127" w:left="1531" w:header="851" w:footer="851" w:gutter="0"/>
          <w:cols w:space="720" w:num="1"/>
          <w:docGrid w:linePitch="312" w:charSpace="0"/>
        </w:sectPr>
      </w:pPr>
    </w:p>
    <w:tbl>
      <w:tblPr>
        <w:tblStyle w:val="21"/>
        <w:tblW w:w="137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29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30" w:hRule="atLeast"/>
        </w:trPr>
        <w:tc>
          <w:tcPr>
            <w:tcW w:w="846" w:type="dxa"/>
            <w:vAlign w:val="center"/>
          </w:tcPr>
          <w:p>
            <w:pPr>
              <w:jc w:val="center"/>
              <w:rPr>
                <w:bCs/>
                <w:sz w:val="24"/>
              </w:rPr>
            </w:pPr>
            <w:r>
              <w:rPr>
                <w:bCs/>
                <w:sz w:val="24"/>
              </w:rPr>
              <w:t>运营</w:t>
            </w:r>
          </w:p>
          <w:p>
            <w:pPr>
              <w:jc w:val="center"/>
              <w:rPr>
                <w:bCs/>
                <w:sz w:val="24"/>
              </w:rPr>
            </w:pPr>
            <w:r>
              <w:rPr>
                <w:bCs/>
                <w:sz w:val="24"/>
              </w:rPr>
              <w:t>期环</w:t>
            </w:r>
          </w:p>
          <w:p>
            <w:pPr>
              <w:jc w:val="center"/>
              <w:rPr>
                <w:bCs/>
                <w:sz w:val="24"/>
              </w:rPr>
            </w:pPr>
            <w:r>
              <w:rPr>
                <w:bCs/>
                <w:sz w:val="24"/>
              </w:rPr>
              <w:t>境影</w:t>
            </w:r>
          </w:p>
          <w:p>
            <w:pPr>
              <w:jc w:val="center"/>
              <w:rPr>
                <w:bCs/>
                <w:sz w:val="24"/>
              </w:rPr>
            </w:pPr>
            <w:r>
              <w:rPr>
                <w:bCs/>
                <w:sz w:val="24"/>
              </w:rPr>
              <w:t>响和</w:t>
            </w:r>
          </w:p>
          <w:p>
            <w:pPr>
              <w:jc w:val="center"/>
              <w:rPr>
                <w:bCs/>
                <w:sz w:val="24"/>
              </w:rPr>
            </w:pPr>
            <w:r>
              <w:rPr>
                <w:bCs/>
                <w:sz w:val="24"/>
              </w:rPr>
              <w:t>保护</w:t>
            </w:r>
          </w:p>
          <w:p>
            <w:pPr>
              <w:pStyle w:val="52"/>
              <w:ind w:firstLine="0" w:firstLineChars="0"/>
              <w:jc w:val="center"/>
              <w:rPr>
                <w:rFonts w:cs="Times New Roman"/>
                <w:color w:val="auto"/>
                <w:sz w:val="24"/>
              </w:rPr>
            </w:pPr>
            <w:r>
              <w:rPr>
                <w:rFonts w:cs="Times New Roman"/>
                <w:bCs/>
                <w:color w:val="auto"/>
                <w:sz w:val="24"/>
              </w:rPr>
              <w:t>措</w:t>
            </w:r>
            <w:r>
              <w:rPr>
                <w:rFonts w:cs="Times New Roman"/>
                <w:bCs/>
                <w:color w:val="auto"/>
                <w:kern w:val="2"/>
                <w:sz w:val="24"/>
              </w:rPr>
              <w:t>施</w:t>
            </w:r>
          </w:p>
        </w:tc>
        <w:tc>
          <w:tcPr>
            <w:tcW w:w="12922" w:type="dxa"/>
          </w:tcPr>
          <w:p>
            <w:pPr>
              <w:pStyle w:val="52"/>
              <w:adjustRightInd w:val="0"/>
              <w:snapToGrid w:val="0"/>
              <w:spacing w:line="500" w:lineRule="exact"/>
              <w:ind w:firstLine="482"/>
              <w:rPr>
                <w:rFonts w:cs="Times New Roman"/>
                <w:b/>
                <w:bCs/>
                <w:color w:val="auto"/>
                <w:sz w:val="24"/>
              </w:rPr>
            </w:pPr>
            <w:r>
              <w:rPr>
                <w:rFonts w:cs="Times New Roman"/>
                <w:b/>
                <w:bCs/>
                <w:color w:val="auto"/>
                <w:sz w:val="24"/>
              </w:rPr>
              <w:t>三、噪声环境影响和保护措施</w:t>
            </w:r>
          </w:p>
          <w:p>
            <w:pPr>
              <w:pStyle w:val="52"/>
              <w:adjustRightInd w:val="0"/>
              <w:snapToGrid w:val="0"/>
              <w:spacing w:line="500" w:lineRule="exact"/>
              <w:ind w:firstLine="480"/>
              <w:rPr>
                <w:rFonts w:cs="Times New Roman"/>
                <w:color w:val="auto"/>
                <w:sz w:val="24"/>
              </w:rPr>
            </w:pPr>
            <w:r>
              <w:rPr>
                <w:rFonts w:cs="Times New Roman"/>
                <w:color w:val="auto"/>
                <w:sz w:val="24"/>
              </w:rPr>
              <w:t>（一）噪声源强</w:t>
            </w:r>
          </w:p>
          <w:p>
            <w:pPr>
              <w:pStyle w:val="52"/>
              <w:adjustRightInd w:val="0"/>
              <w:snapToGrid w:val="0"/>
              <w:spacing w:line="500" w:lineRule="exact"/>
              <w:ind w:firstLine="480"/>
              <w:rPr>
                <w:rFonts w:cs="Times New Roman"/>
                <w:color w:val="auto"/>
                <w:sz w:val="24"/>
              </w:rPr>
            </w:pPr>
            <w:r>
              <w:rPr>
                <w:rFonts w:cs="Times New Roman"/>
                <w:color w:val="auto"/>
                <w:sz w:val="24"/>
              </w:rPr>
              <w:t>本项目的噪声主要为</w:t>
            </w:r>
            <w:r>
              <w:rPr>
                <w:rFonts w:hint="eastAsia" w:cs="Times New Roman"/>
                <w:color w:val="auto"/>
                <w:sz w:val="24"/>
              </w:rPr>
              <w:t>各生产设备、水泵、风机及运输车辆</w:t>
            </w:r>
            <w:r>
              <w:rPr>
                <w:rFonts w:cs="Times New Roman"/>
                <w:color w:val="auto"/>
                <w:sz w:val="24"/>
              </w:rPr>
              <w:t>等设备噪声，根据《环境影响评价技术导则 声环境》（HJ2.4-2021）源强获取方法中对于拟建项目噪声源强可通过声源类比测量或引用有效资料来确定，设备噪声源强70~80dB（A），噪声源强见下表。</w:t>
            </w:r>
          </w:p>
          <w:p>
            <w:pPr>
              <w:pStyle w:val="46"/>
              <w:rPr>
                <w:rFonts w:eastAsia="宋体" w:cs="Times New Roman"/>
              </w:rPr>
            </w:pPr>
            <w:r>
              <w:rPr>
                <w:rFonts w:eastAsia="宋体" w:cs="Times New Roman"/>
              </w:rPr>
              <w:t>表4-</w:t>
            </w:r>
            <w:r>
              <w:rPr>
                <w:rFonts w:hint="eastAsia" w:eastAsia="宋体" w:cs="Times New Roman"/>
              </w:rPr>
              <w:t>4 室内噪声源强一览表</w:t>
            </w:r>
          </w:p>
          <w:tbl>
            <w:tblPr>
              <w:tblStyle w:val="2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7"/>
              <w:gridCol w:w="631"/>
              <w:gridCol w:w="682"/>
              <w:gridCol w:w="477"/>
              <w:gridCol w:w="1067"/>
              <w:gridCol w:w="1508"/>
              <w:gridCol w:w="571"/>
              <w:gridCol w:w="458"/>
              <w:gridCol w:w="371"/>
              <w:gridCol w:w="797"/>
              <w:gridCol w:w="1170"/>
              <w:gridCol w:w="580"/>
              <w:gridCol w:w="1221"/>
              <w:gridCol w:w="1016"/>
              <w:gridCol w:w="682"/>
              <w:gridCol w:w="9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vMerge w:val="restart"/>
                  <w:vAlign w:val="center"/>
                </w:tcPr>
                <w:p>
                  <w:pPr>
                    <w:widowControl/>
                    <w:jc w:val="center"/>
                    <w:rPr>
                      <w:kern w:val="0"/>
                      <w:szCs w:val="21"/>
                    </w:rPr>
                  </w:pPr>
                  <w:r>
                    <w:rPr>
                      <w:kern w:val="0"/>
                      <w:szCs w:val="21"/>
                    </w:rPr>
                    <w:t>序号</w:t>
                  </w:r>
                </w:p>
              </w:tc>
              <w:tc>
                <w:tcPr>
                  <w:tcW w:w="0" w:type="auto"/>
                  <w:vMerge w:val="restart"/>
                  <w:vAlign w:val="center"/>
                </w:tcPr>
                <w:p>
                  <w:pPr>
                    <w:widowControl/>
                    <w:jc w:val="center"/>
                    <w:rPr>
                      <w:kern w:val="0"/>
                      <w:szCs w:val="21"/>
                    </w:rPr>
                  </w:pPr>
                  <w:r>
                    <w:rPr>
                      <w:kern w:val="0"/>
                      <w:szCs w:val="21"/>
                    </w:rPr>
                    <w:t>建筑物名称</w:t>
                  </w:r>
                </w:p>
              </w:tc>
              <w:tc>
                <w:tcPr>
                  <w:tcW w:w="0" w:type="auto"/>
                  <w:vMerge w:val="restart"/>
                  <w:vAlign w:val="center"/>
                </w:tcPr>
                <w:p>
                  <w:pPr>
                    <w:widowControl/>
                    <w:jc w:val="center"/>
                    <w:rPr>
                      <w:kern w:val="0"/>
                      <w:szCs w:val="21"/>
                    </w:rPr>
                  </w:pPr>
                  <w:r>
                    <w:rPr>
                      <w:kern w:val="0"/>
                      <w:szCs w:val="21"/>
                    </w:rPr>
                    <w:t>声源名称</w:t>
                  </w:r>
                </w:p>
              </w:tc>
              <w:tc>
                <w:tcPr>
                  <w:tcW w:w="0" w:type="auto"/>
                  <w:vMerge w:val="restart"/>
                  <w:vAlign w:val="center"/>
                </w:tcPr>
                <w:p>
                  <w:pPr>
                    <w:widowControl/>
                    <w:jc w:val="center"/>
                    <w:rPr>
                      <w:kern w:val="0"/>
                      <w:szCs w:val="21"/>
                    </w:rPr>
                  </w:pPr>
                  <w:r>
                    <w:rPr>
                      <w:kern w:val="0"/>
                      <w:szCs w:val="21"/>
                    </w:rPr>
                    <w:t>型号</w:t>
                  </w:r>
                </w:p>
              </w:tc>
              <w:tc>
                <w:tcPr>
                  <w:tcW w:w="0" w:type="auto"/>
                  <w:vAlign w:val="center"/>
                </w:tcPr>
                <w:p>
                  <w:pPr>
                    <w:widowControl/>
                    <w:jc w:val="center"/>
                    <w:rPr>
                      <w:kern w:val="0"/>
                      <w:szCs w:val="21"/>
                    </w:rPr>
                  </w:pPr>
                  <w:r>
                    <w:rPr>
                      <w:kern w:val="0"/>
                      <w:szCs w:val="21"/>
                    </w:rPr>
                    <w:t>声源源强</w:t>
                  </w:r>
                </w:p>
              </w:tc>
              <w:tc>
                <w:tcPr>
                  <w:tcW w:w="0" w:type="auto"/>
                  <w:vMerge w:val="restart"/>
                  <w:vAlign w:val="center"/>
                </w:tcPr>
                <w:p>
                  <w:pPr>
                    <w:widowControl/>
                    <w:jc w:val="center"/>
                    <w:rPr>
                      <w:kern w:val="0"/>
                      <w:szCs w:val="21"/>
                    </w:rPr>
                  </w:pPr>
                  <w:r>
                    <w:rPr>
                      <w:kern w:val="0"/>
                      <w:szCs w:val="21"/>
                    </w:rPr>
                    <w:t>声源控制措施</w:t>
                  </w:r>
                </w:p>
              </w:tc>
              <w:tc>
                <w:tcPr>
                  <w:tcW w:w="0" w:type="auto"/>
                  <w:gridSpan w:val="3"/>
                  <w:vAlign w:val="center"/>
                </w:tcPr>
                <w:p>
                  <w:pPr>
                    <w:widowControl/>
                    <w:jc w:val="center"/>
                    <w:rPr>
                      <w:kern w:val="0"/>
                      <w:szCs w:val="21"/>
                    </w:rPr>
                  </w:pPr>
                  <w:r>
                    <w:rPr>
                      <w:kern w:val="0"/>
                      <w:szCs w:val="21"/>
                    </w:rPr>
                    <w:t>空间相对位置/m</w:t>
                  </w:r>
                </w:p>
              </w:tc>
              <w:tc>
                <w:tcPr>
                  <w:tcW w:w="0" w:type="auto"/>
                  <w:vMerge w:val="restart"/>
                  <w:vAlign w:val="center"/>
                </w:tcPr>
                <w:p>
                  <w:pPr>
                    <w:widowControl/>
                    <w:jc w:val="center"/>
                    <w:rPr>
                      <w:kern w:val="0"/>
                      <w:szCs w:val="21"/>
                    </w:rPr>
                  </w:pPr>
                  <w:r>
                    <w:rPr>
                      <w:kern w:val="0"/>
                      <w:szCs w:val="21"/>
                    </w:rPr>
                    <w:t>距室内边界距离/m</w:t>
                  </w:r>
                </w:p>
              </w:tc>
              <w:tc>
                <w:tcPr>
                  <w:tcW w:w="0" w:type="auto"/>
                  <w:vMerge w:val="restart"/>
                  <w:vAlign w:val="center"/>
                </w:tcPr>
                <w:p>
                  <w:pPr>
                    <w:widowControl/>
                    <w:jc w:val="center"/>
                    <w:rPr>
                      <w:kern w:val="0"/>
                      <w:szCs w:val="21"/>
                    </w:rPr>
                  </w:pPr>
                  <w:r>
                    <w:rPr>
                      <w:kern w:val="0"/>
                      <w:szCs w:val="21"/>
                    </w:rPr>
                    <w:t>室内边界声级/dB（A）</w:t>
                  </w:r>
                </w:p>
              </w:tc>
              <w:tc>
                <w:tcPr>
                  <w:tcW w:w="0" w:type="auto"/>
                  <w:vMerge w:val="restart"/>
                  <w:vAlign w:val="center"/>
                </w:tcPr>
                <w:p>
                  <w:pPr>
                    <w:widowControl/>
                    <w:jc w:val="center"/>
                    <w:rPr>
                      <w:kern w:val="0"/>
                      <w:szCs w:val="21"/>
                    </w:rPr>
                  </w:pPr>
                  <w:r>
                    <w:rPr>
                      <w:kern w:val="0"/>
                      <w:szCs w:val="21"/>
                    </w:rPr>
                    <w:t>运行时段</w:t>
                  </w:r>
                </w:p>
              </w:tc>
              <w:tc>
                <w:tcPr>
                  <w:tcW w:w="0" w:type="auto"/>
                  <w:vMerge w:val="restart"/>
                  <w:vAlign w:val="center"/>
                </w:tcPr>
                <w:p>
                  <w:pPr>
                    <w:widowControl/>
                    <w:jc w:val="center"/>
                    <w:rPr>
                      <w:kern w:val="0"/>
                      <w:szCs w:val="21"/>
                    </w:rPr>
                  </w:pPr>
                  <w:r>
                    <w:rPr>
                      <w:kern w:val="0"/>
                      <w:szCs w:val="21"/>
                    </w:rPr>
                    <w:t>建筑物插入损失/dB（A）</w:t>
                  </w:r>
                </w:p>
              </w:tc>
              <w:tc>
                <w:tcPr>
                  <w:tcW w:w="0" w:type="auto"/>
                  <w:gridSpan w:val="2"/>
                  <w:vAlign w:val="center"/>
                </w:tcPr>
                <w:p>
                  <w:pPr>
                    <w:widowControl/>
                    <w:jc w:val="center"/>
                    <w:rPr>
                      <w:kern w:val="0"/>
                      <w:szCs w:val="21"/>
                    </w:rPr>
                  </w:pPr>
                  <w:r>
                    <w:rPr>
                      <w:kern w:val="0"/>
                      <w:szCs w:val="21"/>
                    </w:rPr>
                    <w:t>建筑物外噪声</w:t>
                  </w:r>
                </w:p>
              </w:tc>
              <w:tc>
                <w:tcPr>
                  <w:tcW w:w="0" w:type="auto"/>
                  <w:vMerge w:val="restart"/>
                  <w:vAlign w:val="center"/>
                </w:tcPr>
                <w:p>
                  <w:pPr>
                    <w:widowControl/>
                    <w:jc w:val="center"/>
                    <w:rPr>
                      <w:kern w:val="0"/>
                      <w:szCs w:val="21"/>
                    </w:rPr>
                  </w:pPr>
                  <w:r>
                    <w:rPr>
                      <w:rFonts w:hint="eastAsia"/>
                      <w:kern w:val="0"/>
                      <w:szCs w:val="21"/>
                    </w:rPr>
                    <w:t>年运行时间（h）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vMerge w:val="continue"/>
                  <w:vAlign w:val="center"/>
                </w:tcPr>
                <w:p>
                  <w:pPr>
                    <w:widowControl/>
                    <w:jc w:val="center"/>
                    <w:rPr>
                      <w:kern w:val="0"/>
                      <w:szCs w:val="21"/>
                    </w:rPr>
                  </w:pPr>
                </w:p>
              </w:tc>
              <w:tc>
                <w:tcPr>
                  <w:tcW w:w="0" w:type="auto"/>
                  <w:vMerge w:val="continue"/>
                  <w:vAlign w:val="center"/>
                </w:tcPr>
                <w:p>
                  <w:pPr>
                    <w:widowControl/>
                    <w:jc w:val="center"/>
                    <w:rPr>
                      <w:kern w:val="0"/>
                      <w:szCs w:val="21"/>
                    </w:rPr>
                  </w:pPr>
                </w:p>
              </w:tc>
              <w:tc>
                <w:tcPr>
                  <w:tcW w:w="0" w:type="auto"/>
                  <w:vMerge w:val="continue"/>
                  <w:vAlign w:val="center"/>
                </w:tcPr>
                <w:p>
                  <w:pPr>
                    <w:widowControl/>
                    <w:jc w:val="center"/>
                    <w:rPr>
                      <w:kern w:val="0"/>
                      <w:szCs w:val="21"/>
                    </w:rPr>
                  </w:pP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kern w:val="0"/>
                      <w:szCs w:val="21"/>
                    </w:rPr>
                    <w:t>声功率级/dB（A）</w:t>
                  </w: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kern w:val="0"/>
                      <w:szCs w:val="21"/>
                    </w:rPr>
                    <w:t>X</w:t>
                  </w:r>
                </w:p>
              </w:tc>
              <w:tc>
                <w:tcPr>
                  <w:tcW w:w="0" w:type="auto"/>
                  <w:vAlign w:val="center"/>
                </w:tcPr>
                <w:p>
                  <w:pPr>
                    <w:widowControl/>
                    <w:jc w:val="center"/>
                    <w:rPr>
                      <w:kern w:val="0"/>
                      <w:szCs w:val="21"/>
                    </w:rPr>
                  </w:pPr>
                  <w:r>
                    <w:rPr>
                      <w:kern w:val="0"/>
                      <w:szCs w:val="21"/>
                    </w:rPr>
                    <w:t>Y</w:t>
                  </w:r>
                </w:p>
              </w:tc>
              <w:tc>
                <w:tcPr>
                  <w:tcW w:w="0" w:type="auto"/>
                  <w:vAlign w:val="center"/>
                </w:tcPr>
                <w:p>
                  <w:pPr>
                    <w:widowControl/>
                    <w:jc w:val="center"/>
                    <w:rPr>
                      <w:kern w:val="0"/>
                      <w:szCs w:val="21"/>
                    </w:rPr>
                  </w:pPr>
                  <w:r>
                    <w:rPr>
                      <w:kern w:val="0"/>
                      <w:szCs w:val="21"/>
                    </w:rPr>
                    <w:t>Z</w:t>
                  </w:r>
                </w:p>
              </w:tc>
              <w:tc>
                <w:tcPr>
                  <w:tcW w:w="0" w:type="auto"/>
                  <w:vMerge w:val="continue"/>
                  <w:vAlign w:val="center"/>
                </w:tcPr>
                <w:p>
                  <w:pPr>
                    <w:widowControl/>
                    <w:jc w:val="center"/>
                    <w:rPr>
                      <w:kern w:val="0"/>
                      <w:szCs w:val="21"/>
                    </w:rPr>
                  </w:pPr>
                </w:p>
              </w:tc>
              <w:tc>
                <w:tcPr>
                  <w:tcW w:w="0" w:type="auto"/>
                  <w:vMerge w:val="continue"/>
                  <w:vAlign w:val="center"/>
                </w:tcPr>
                <w:p>
                  <w:pPr>
                    <w:widowControl/>
                    <w:jc w:val="center"/>
                    <w:rPr>
                      <w:kern w:val="0"/>
                      <w:szCs w:val="21"/>
                    </w:rPr>
                  </w:pPr>
                </w:p>
              </w:tc>
              <w:tc>
                <w:tcPr>
                  <w:tcW w:w="0" w:type="auto"/>
                  <w:vMerge w:val="continue"/>
                  <w:vAlign w:val="center"/>
                </w:tcPr>
                <w:p>
                  <w:pPr>
                    <w:widowControl/>
                    <w:jc w:val="center"/>
                    <w:rPr>
                      <w:kern w:val="0"/>
                      <w:szCs w:val="21"/>
                    </w:rPr>
                  </w:pP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kern w:val="0"/>
                      <w:szCs w:val="21"/>
                    </w:rPr>
                    <w:t>声压级/dB（A）</w:t>
                  </w:r>
                </w:p>
              </w:tc>
              <w:tc>
                <w:tcPr>
                  <w:tcW w:w="0" w:type="auto"/>
                  <w:vAlign w:val="center"/>
                </w:tcPr>
                <w:p>
                  <w:pPr>
                    <w:widowControl/>
                    <w:jc w:val="center"/>
                    <w:rPr>
                      <w:kern w:val="0"/>
                      <w:szCs w:val="21"/>
                    </w:rPr>
                  </w:pPr>
                  <w:r>
                    <w:rPr>
                      <w:kern w:val="0"/>
                      <w:szCs w:val="21"/>
                    </w:rPr>
                    <w:t>建筑物外距离</w:t>
                  </w:r>
                </w:p>
              </w:tc>
              <w:tc>
                <w:tcPr>
                  <w:tcW w:w="0" w:type="auto"/>
                  <w:vMerge w:val="continue"/>
                  <w:vAlign w:val="center"/>
                </w:tcPr>
                <w:p>
                  <w:pPr>
                    <w:widowControl/>
                    <w:jc w:val="center"/>
                    <w:rPr>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vAlign w:val="center"/>
                </w:tcPr>
                <w:p>
                  <w:pPr>
                    <w:widowControl/>
                    <w:jc w:val="center"/>
                    <w:rPr>
                      <w:kern w:val="0"/>
                      <w:szCs w:val="21"/>
                    </w:rPr>
                  </w:pPr>
                  <w:r>
                    <w:rPr>
                      <w:kern w:val="0"/>
                      <w:szCs w:val="21"/>
                    </w:rPr>
                    <w:t>1</w:t>
                  </w:r>
                </w:p>
              </w:tc>
              <w:tc>
                <w:tcPr>
                  <w:tcW w:w="0" w:type="auto"/>
                  <w:vMerge w:val="restart"/>
                  <w:vAlign w:val="center"/>
                </w:tcPr>
                <w:p>
                  <w:pPr>
                    <w:widowControl/>
                    <w:jc w:val="center"/>
                    <w:rPr>
                      <w:kern w:val="0"/>
                      <w:szCs w:val="21"/>
                    </w:rPr>
                  </w:pPr>
                  <w:r>
                    <w:rPr>
                      <w:kern w:val="0"/>
                      <w:szCs w:val="21"/>
                    </w:rPr>
                    <w:t>生产车间</w:t>
                  </w:r>
                </w:p>
              </w:tc>
              <w:tc>
                <w:tcPr>
                  <w:tcW w:w="0" w:type="auto"/>
                  <w:vAlign w:val="center"/>
                </w:tcPr>
                <w:p>
                  <w:pPr>
                    <w:widowControl/>
                    <w:jc w:val="center"/>
                    <w:rPr>
                      <w:kern w:val="0"/>
                      <w:szCs w:val="21"/>
                    </w:rPr>
                  </w:pPr>
                  <w:r>
                    <w:rPr>
                      <w:kern w:val="0"/>
                      <w:szCs w:val="21"/>
                    </w:rPr>
                    <w:t>数控洗煤机组</w:t>
                  </w:r>
                </w:p>
              </w:tc>
              <w:tc>
                <w:tcPr>
                  <w:tcW w:w="0" w:type="auto"/>
                  <w:vAlign w:val="center"/>
                </w:tcPr>
                <w:p>
                  <w:pPr>
                    <w:widowControl/>
                    <w:jc w:val="center"/>
                    <w:rPr>
                      <w:kern w:val="0"/>
                      <w:szCs w:val="21"/>
                    </w:rPr>
                  </w:pPr>
                  <w:r>
                    <w:rPr>
                      <w:kern w:val="0"/>
                      <w:szCs w:val="21"/>
                    </w:rPr>
                    <w:t>/</w:t>
                  </w:r>
                </w:p>
              </w:tc>
              <w:tc>
                <w:tcPr>
                  <w:tcW w:w="0" w:type="auto"/>
                  <w:vAlign w:val="center"/>
                </w:tcPr>
                <w:p>
                  <w:pPr>
                    <w:widowControl/>
                    <w:jc w:val="center"/>
                    <w:rPr>
                      <w:kern w:val="0"/>
                      <w:szCs w:val="21"/>
                    </w:rPr>
                  </w:pPr>
                  <w:r>
                    <w:rPr>
                      <w:rFonts w:hint="eastAsia"/>
                      <w:szCs w:val="21"/>
                    </w:rPr>
                    <w:t>75</w:t>
                  </w:r>
                </w:p>
              </w:tc>
              <w:tc>
                <w:tcPr>
                  <w:tcW w:w="0" w:type="auto"/>
                  <w:vMerge w:val="restart"/>
                  <w:vAlign w:val="center"/>
                </w:tcPr>
                <w:p>
                  <w:pPr>
                    <w:widowControl/>
                    <w:jc w:val="center"/>
                    <w:rPr>
                      <w:kern w:val="0"/>
                      <w:szCs w:val="21"/>
                    </w:rPr>
                  </w:pPr>
                  <w:r>
                    <w:rPr>
                      <w:kern w:val="0"/>
                      <w:szCs w:val="21"/>
                    </w:rPr>
                    <w:t>选用低噪设备，房屋密闭、减振、隔声处理</w:t>
                  </w:r>
                </w:p>
              </w:tc>
              <w:tc>
                <w:tcPr>
                  <w:tcW w:w="0" w:type="auto"/>
                  <w:vAlign w:val="center"/>
                </w:tcPr>
                <w:p>
                  <w:pPr>
                    <w:widowControl/>
                    <w:jc w:val="center"/>
                    <w:rPr>
                      <w:kern w:val="0"/>
                      <w:szCs w:val="21"/>
                    </w:rPr>
                  </w:pPr>
                  <w:r>
                    <w:rPr>
                      <w:rFonts w:hint="eastAsia"/>
                      <w:kern w:val="0"/>
                      <w:szCs w:val="21"/>
                    </w:rPr>
                    <w:t>117</w:t>
                  </w:r>
                </w:p>
              </w:tc>
              <w:tc>
                <w:tcPr>
                  <w:tcW w:w="0" w:type="auto"/>
                  <w:vAlign w:val="center"/>
                </w:tcPr>
                <w:p>
                  <w:pPr>
                    <w:widowControl/>
                    <w:jc w:val="center"/>
                    <w:rPr>
                      <w:kern w:val="0"/>
                      <w:szCs w:val="21"/>
                    </w:rPr>
                  </w:pPr>
                  <w:r>
                    <w:rPr>
                      <w:rFonts w:hint="eastAsia"/>
                      <w:kern w:val="0"/>
                      <w:szCs w:val="21"/>
                    </w:rPr>
                    <w:t>40</w:t>
                  </w:r>
                </w:p>
              </w:tc>
              <w:tc>
                <w:tcPr>
                  <w:tcW w:w="0" w:type="auto"/>
                  <w:vAlign w:val="center"/>
                </w:tcPr>
                <w:p>
                  <w:pPr>
                    <w:widowControl/>
                    <w:jc w:val="center"/>
                    <w:rPr>
                      <w:kern w:val="0"/>
                      <w:szCs w:val="21"/>
                    </w:rPr>
                  </w:pPr>
                  <w:r>
                    <w:rPr>
                      <w:kern w:val="0"/>
                      <w:szCs w:val="21"/>
                    </w:rPr>
                    <w:t>1</w:t>
                  </w:r>
                </w:p>
              </w:tc>
              <w:tc>
                <w:tcPr>
                  <w:tcW w:w="0" w:type="auto"/>
                  <w:vAlign w:val="center"/>
                </w:tcPr>
                <w:p>
                  <w:pPr>
                    <w:widowControl/>
                    <w:jc w:val="center"/>
                    <w:rPr>
                      <w:kern w:val="0"/>
                      <w:szCs w:val="21"/>
                    </w:rPr>
                  </w:pPr>
                  <w:r>
                    <w:rPr>
                      <w:rFonts w:hint="eastAsia"/>
                      <w:kern w:val="0"/>
                      <w:szCs w:val="21"/>
                    </w:rPr>
                    <w:t>20</w:t>
                  </w:r>
                </w:p>
              </w:tc>
              <w:tc>
                <w:tcPr>
                  <w:tcW w:w="0" w:type="auto"/>
                  <w:vAlign w:val="center"/>
                </w:tcPr>
                <w:p>
                  <w:pPr>
                    <w:widowControl/>
                    <w:jc w:val="center"/>
                    <w:rPr>
                      <w:kern w:val="0"/>
                      <w:szCs w:val="21"/>
                    </w:rPr>
                  </w:pPr>
                  <w:r>
                    <w:rPr>
                      <w:rFonts w:hint="eastAsia"/>
                      <w:szCs w:val="21"/>
                    </w:rPr>
                    <w:t>80</w:t>
                  </w:r>
                </w:p>
              </w:tc>
              <w:tc>
                <w:tcPr>
                  <w:tcW w:w="0" w:type="auto"/>
                  <w:vMerge w:val="restart"/>
                  <w:vAlign w:val="center"/>
                </w:tcPr>
                <w:p>
                  <w:pPr>
                    <w:widowControl/>
                    <w:jc w:val="center"/>
                    <w:rPr>
                      <w:kern w:val="0"/>
                      <w:szCs w:val="21"/>
                    </w:rPr>
                  </w:pPr>
                  <w:r>
                    <w:rPr>
                      <w:rFonts w:hint="eastAsia"/>
                      <w:kern w:val="0"/>
                      <w:szCs w:val="21"/>
                    </w:rPr>
                    <w:t>昼间</w:t>
                  </w:r>
                </w:p>
              </w:tc>
              <w:tc>
                <w:tcPr>
                  <w:tcW w:w="0" w:type="auto"/>
                  <w:vAlign w:val="center"/>
                </w:tcPr>
                <w:p>
                  <w:pPr>
                    <w:widowControl/>
                    <w:jc w:val="center"/>
                    <w:rPr>
                      <w:kern w:val="0"/>
                      <w:szCs w:val="21"/>
                    </w:rPr>
                  </w:pPr>
                  <w:r>
                    <w:rPr>
                      <w:rFonts w:hint="eastAsia"/>
                      <w:kern w:val="0"/>
                      <w:szCs w:val="21"/>
                    </w:rPr>
                    <w:t>20</w:t>
                  </w:r>
                </w:p>
              </w:tc>
              <w:tc>
                <w:tcPr>
                  <w:tcW w:w="0" w:type="auto"/>
                  <w:vAlign w:val="center"/>
                </w:tcPr>
                <w:p>
                  <w:pPr>
                    <w:widowControl/>
                    <w:jc w:val="center"/>
                    <w:rPr>
                      <w:kern w:val="0"/>
                      <w:szCs w:val="21"/>
                    </w:rPr>
                  </w:pPr>
                  <w:r>
                    <w:rPr>
                      <w:rFonts w:hint="eastAsia"/>
                      <w:szCs w:val="21"/>
                    </w:rPr>
                    <w:t>60</w:t>
                  </w:r>
                </w:p>
              </w:tc>
              <w:tc>
                <w:tcPr>
                  <w:tcW w:w="0" w:type="auto"/>
                  <w:vAlign w:val="center"/>
                </w:tcPr>
                <w:p>
                  <w:pPr>
                    <w:widowControl/>
                    <w:jc w:val="center"/>
                    <w:rPr>
                      <w:kern w:val="0"/>
                      <w:szCs w:val="21"/>
                    </w:rPr>
                  </w:pPr>
                  <w:r>
                    <w:rPr>
                      <w:kern w:val="0"/>
                      <w:szCs w:val="21"/>
                    </w:rPr>
                    <w:t>1</w:t>
                  </w:r>
                </w:p>
              </w:tc>
              <w:tc>
                <w:tcPr>
                  <w:tcW w:w="0" w:type="auto"/>
                  <w:vMerge w:val="restart"/>
                  <w:vAlign w:val="center"/>
                </w:tcPr>
                <w:p>
                  <w:pPr>
                    <w:widowControl/>
                    <w:jc w:val="center"/>
                    <w:rPr>
                      <w:kern w:val="0"/>
                      <w:szCs w:val="21"/>
                    </w:rPr>
                  </w:pPr>
                  <w:r>
                    <w:rPr>
                      <w:rFonts w:hint="eastAsia"/>
                      <w:kern w:val="0"/>
                      <w:szCs w:val="21"/>
                    </w:rPr>
                    <w:t>2400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vAlign w:val="center"/>
                </w:tcPr>
                <w:p>
                  <w:pPr>
                    <w:widowControl/>
                    <w:jc w:val="center"/>
                    <w:rPr>
                      <w:kern w:val="0"/>
                      <w:szCs w:val="21"/>
                    </w:rPr>
                  </w:pPr>
                  <w:r>
                    <w:rPr>
                      <w:rFonts w:hint="eastAsia"/>
                      <w:kern w:val="0"/>
                      <w:szCs w:val="21"/>
                    </w:rPr>
                    <w:t>2</w:t>
                  </w: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kern w:val="0"/>
                      <w:szCs w:val="21"/>
                    </w:rPr>
                    <w:t>压滤机</w:t>
                  </w:r>
                </w:p>
              </w:tc>
              <w:tc>
                <w:tcPr>
                  <w:tcW w:w="0" w:type="auto"/>
                  <w:vAlign w:val="center"/>
                </w:tcPr>
                <w:p>
                  <w:pPr>
                    <w:widowControl/>
                    <w:jc w:val="center"/>
                    <w:rPr>
                      <w:kern w:val="0"/>
                      <w:szCs w:val="21"/>
                    </w:rPr>
                  </w:pPr>
                  <w:r>
                    <w:rPr>
                      <w:kern w:val="0"/>
                      <w:szCs w:val="21"/>
                    </w:rPr>
                    <w:t>/</w:t>
                  </w:r>
                </w:p>
              </w:tc>
              <w:tc>
                <w:tcPr>
                  <w:tcW w:w="0" w:type="auto"/>
                  <w:vAlign w:val="center"/>
                </w:tcPr>
                <w:p>
                  <w:pPr>
                    <w:widowControl/>
                    <w:jc w:val="center"/>
                    <w:rPr>
                      <w:kern w:val="0"/>
                      <w:szCs w:val="21"/>
                    </w:rPr>
                  </w:pPr>
                  <w:r>
                    <w:rPr>
                      <w:rFonts w:hint="eastAsia"/>
                      <w:szCs w:val="21"/>
                    </w:rPr>
                    <w:t>75</w:t>
                  </w: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rFonts w:hint="eastAsia"/>
                      <w:kern w:val="0"/>
                      <w:szCs w:val="21"/>
                    </w:rPr>
                    <w:t>120</w:t>
                  </w:r>
                </w:p>
              </w:tc>
              <w:tc>
                <w:tcPr>
                  <w:tcW w:w="0" w:type="auto"/>
                  <w:vAlign w:val="center"/>
                </w:tcPr>
                <w:p>
                  <w:pPr>
                    <w:widowControl/>
                    <w:jc w:val="center"/>
                    <w:rPr>
                      <w:kern w:val="0"/>
                      <w:szCs w:val="21"/>
                    </w:rPr>
                  </w:pPr>
                  <w:r>
                    <w:rPr>
                      <w:rFonts w:hint="eastAsia"/>
                      <w:kern w:val="0"/>
                      <w:szCs w:val="21"/>
                    </w:rPr>
                    <w:t>40</w:t>
                  </w:r>
                </w:p>
              </w:tc>
              <w:tc>
                <w:tcPr>
                  <w:tcW w:w="0" w:type="auto"/>
                  <w:vAlign w:val="center"/>
                </w:tcPr>
                <w:p>
                  <w:pPr>
                    <w:widowControl/>
                    <w:jc w:val="center"/>
                    <w:rPr>
                      <w:kern w:val="0"/>
                      <w:szCs w:val="21"/>
                    </w:rPr>
                  </w:pPr>
                  <w:r>
                    <w:rPr>
                      <w:kern w:val="0"/>
                      <w:szCs w:val="21"/>
                    </w:rPr>
                    <w:t>1</w:t>
                  </w:r>
                </w:p>
              </w:tc>
              <w:tc>
                <w:tcPr>
                  <w:tcW w:w="0" w:type="auto"/>
                  <w:vAlign w:val="center"/>
                </w:tcPr>
                <w:p>
                  <w:pPr>
                    <w:widowControl/>
                    <w:jc w:val="center"/>
                    <w:rPr>
                      <w:kern w:val="0"/>
                      <w:szCs w:val="21"/>
                    </w:rPr>
                  </w:pPr>
                  <w:r>
                    <w:rPr>
                      <w:rFonts w:hint="eastAsia"/>
                      <w:kern w:val="0"/>
                      <w:szCs w:val="21"/>
                    </w:rPr>
                    <w:t>27</w:t>
                  </w:r>
                </w:p>
              </w:tc>
              <w:tc>
                <w:tcPr>
                  <w:tcW w:w="0" w:type="auto"/>
                  <w:vAlign w:val="center"/>
                </w:tcPr>
                <w:p>
                  <w:pPr>
                    <w:widowControl/>
                    <w:jc w:val="center"/>
                    <w:rPr>
                      <w:kern w:val="0"/>
                      <w:szCs w:val="21"/>
                    </w:rPr>
                  </w:pPr>
                  <w:r>
                    <w:rPr>
                      <w:rFonts w:hint="eastAsia"/>
                      <w:szCs w:val="21"/>
                    </w:rPr>
                    <w:t>80</w:t>
                  </w: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rFonts w:hint="eastAsia"/>
                      <w:kern w:val="0"/>
                      <w:szCs w:val="21"/>
                    </w:rPr>
                    <w:t>20</w:t>
                  </w:r>
                </w:p>
              </w:tc>
              <w:tc>
                <w:tcPr>
                  <w:tcW w:w="0" w:type="auto"/>
                  <w:vAlign w:val="center"/>
                </w:tcPr>
                <w:p>
                  <w:pPr>
                    <w:widowControl/>
                    <w:jc w:val="center"/>
                    <w:rPr>
                      <w:kern w:val="0"/>
                      <w:szCs w:val="21"/>
                    </w:rPr>
                  </w:pPr>
                  <w:r>
                    <w:rPr>
                      <w:rFonts w:hint="eastAsia"/>
                      <w:szCs w:val="21"/>
                    </w:rPr>
                    <w:t>60</w:t>
                  </w:r>
                </w:p>
              </w:tc>
              <w:tc>
                <w:tcPr>
                  <w:tcW w:w="0" w:type="auto"/>
                  <w:vAlign w:val="center"/>
                </w:tcPr>
                <w:p>
                  <w:pPr>
                    <w:widowControl/>
                    <w:jc w:val="center"/>
                    <w:rPr>
                      <w:kern w:val="0"/>
                      <w:szCs w:val="21"/>
                    </w:rPr>
                  </w:pPr>
                  <w:r>
                    <w:rPr>
                      <w:kern w:val="0"/>
                      <w:szCs w:val="21"/>
                    </w:rPr>
                    <w:t>1</w:t>
                  </w:r>
                </w:p>
              </w:tc>
              <w:tc>
                <w:tcPr>
                  <w:tcW w:w="0" w:type="auto"/>
                  <w:vMerge w:val="continue"/>
                  <w:vAlign w:val="center"/>
                </w:tcPr>
                <w:p>
                  <w:pPr>
                    <w:widowControl/>
                    <w:jc w:val="center"/>
                    <w:rPr>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0" w:type="auto"/>
                  <w:vAlign w:val="center"/>
                </w:tcPr>
                <w:p>
                  <w:pPr>
                    <w:widowControl/>
                    <w:jc w:val="center"/>
                    <w:rPr>
                      <w:kern w:val="0"/>
                      <w:szCs w:val="21"/>
                    </w:rPr>
                  </w:pPr>
                  <w:r>
                    <w:rPr>
                      <w:rFonts w:hint="eastAsia"/>
                      <w:kern w:val="0"/>
                      <w:szCs w:val="21"/>
                    </w:rPr>
                    <w:t>3</w:t>
                  </w: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kern w:val="0"/>
                      <w:szCs w:val="21"/>
                    </w:rPr>
                    <w:t>输送机</w:t>
                  </w:r>
                </w:p>
              </w:tc>
              <w:tc>
                <w:tcPr>
                  <w:tcW w:w="0" w:type="auto"/>
                  <w:noWrap/>
                  <w:vAlign w:val="center"/>
                </w:tcPr>
                <w:p>
                  <w:pPr>
                    <w:widowControl/>
                    <w:jc w:val="center"/>
                    <w:rPr>
                      <w:kern w:val="0"/>
                      <w:szCs w:val="21"/>
                    </w:rPr>
                  </w:pPr>
                  <w:r>
                    <w:rPr>
                      <w:kern w:val="0"/>
                      <w:szCs w:val="21"/>
                    </w:rPr>
                    <w:t>/</w:t>
                  </w:r>
                </w:p>
              </w:tc>
              <w:tc>
                <w:tcPr>
                  <w:tcW w:w="0" w:type="auto"/>
                  <w:vAlign w:val="center"/>
                </w:tcPr>
                <w:p>
                  <w:pPr>
                    <w:widowControl/>
                    <w:jc w:val="center"/>
                    <w:rPr>
                      <w:kern w:val="0"/>
                      <w:szCs w:val="21"/>
                    </w:rPr>
                  </w:pPr>
                  <w:r>
                    <w:rPr>
                      <w:rFonts w:hint="eastAsia"/>
                      <w:szCs w:val="21"/>
                    </w:rPr>
                    <w:t>75</w:t>
                  </w: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rFonts w:hint="eastAsia"/>
                      <w:kern w:val="0"/>
                      <w:szCs w:val="21"/>
                    </w:rPr>
                    <w:t>115</w:t>
                  </w:r>
                </w:p>
              </w:tc>
              <w:tc>
                <w:tcPr>
                  <w:tcW w:w="0" w:type="auto"/>
                  <w:vAlign w:val="center"/>
                </w:tcPr>
                <w:p>
                  <w:pPr>
                    <w:widowControl/>
                    <w:jc w:val="center"/>
                    <w:rPr>
                      <w:kern w:val="0"/>
                      <w:szCs w:val="21"/>
                    </w:rPr>
                  </w:pPr>
                  <w:r>
                    <w:rPr>
                      <w:rFonts w:hint="eastAsia"/>
                      <w:kern w:val="0"/>
                      <w:szCs w:val="21"/>
                    </w:rPr>
                    <w:t>60</w:t>
                  </w:r>
                </w:p>
              </w:tc>
              <w:tc>
                <w:tcPr>
                  <w:tcW w:w="0" w:type="auto"/>
                  <w:vAlign w:val="center"/>
                </w:tcPr>
                <w:p>
                  <w:pPr>
                    <w:widowControl/>
                    <w:jc w:val="center"/>
                    <w:rPr>
                      <w:kern w:val="0"/>
                      <w:szCs w:val="21"/>
                    </w:rPr>
                  </w:pPr>
                  <w:r>
                    <w:rPr>
                      <w:kern w:val="0"/>
                      <w:szCs w:val="21"/>
                    </w:rPr>
                    <w:t>1</w:t>
                  </w:r>
                </w:p>
              </w:tc>
              <w:tc>
                <w:tcPr>
                  <w:tcW w:w="0" w:type="auto"/>
                  <w:vAlign w:val="center"/>
                </w:tcPr>
                <w:p>
                  <w:pPr>
                    <w:widowControl/>
                    <w:jc w:val="center"/>
                    <w:rPr>
                      <w:kern w:val="0"/>
                      <w:szCs w:val="21"/>
                    </w:rPr>
                  </w:pPr>
                  <w:r>
                    <w:rPr>
                      <w:rFonts w:hint="eastAsia"/>
                      <w:kern w:val="0"/>
                      <w:szCs w:val="21"/>
                    </w:rPr>
                    <w:t>15</w:t>
                  </w:r>
                </w:p>
              </w:tc>
              <w:tc>
                <w:tcPr>
                  <w:tcW w:w="0" w:type="auto"/>
                  <w:vAlign w:val="center"/>
                </w:tcPr>
                <w:p>
                  <w:pPr>
                    <w:widowControl/>
                    <w:jc w:val="center"/>
                    <w:rPr>
                      <w:kern w:val="0"/>
                      <w:szCs w:val="21"/>
                    </w:rPr>
                  </w:pPr>
                  <w:r>
                    <w:rPr>
                      <w:rFonts w:hint="eastAsia"/>
                      <w:szCs w:val="21"/>
                    </w:rPr>
                    <w:t>75</w:t>
                  </w: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rFonts w:hint="eastAsia"/>
                      <w:kern w:val="0"/>
                      <w:szCs w:val="21"/>
                    </w:rPr>
                    <w:t>20</w:t>
                  </w:r>
                </w:p>
              </w:tc>
              <w:tc>
                <w:tcPr>
                  <w:tcW w:w="0" w:type="auto"/>
                  <w:vAlign w:val="center"/>
                </w:tcPr>
                <w:p>
                  <w:pPr>
                    <w:widowControl/>
                    <w:jc w:val="center"/>
                    <w:rPr>
                      <w:kern w:val="0"/>
                      <w:szCs w:val="21"/>
                    </w:rPr>
                  </w:pPr>
                  <w:r>
                    <w:rPr>
                      <w:rFonts w:hint="eastAsia"/>
                      <w:szCs w:val="21"/>
                    </w:rPr>
                    <w:t>55</w:t>
                  </w:r>
                </w:p>
              </w:tc>
              <w:tc>
                <w:tcPr>
                  <w:tcW w:w="0" w:type="auto"/>
                  <w:vAlign w:val="center"/>
                </w:tcPr>
                <w:p>
                  <w:pPr>
                    <w:widowControl/>
                    <w:jc w:val="center"/>
                    <w:rPr>
                      <w:kern w:val="0"/>
                      <w:szCs w:val="21"/>
                    </w:rPr>
                  </w:pPr>
                  <w:r>
                    <w:rPr>
                      <w:kern w:val="0"/>
                      <w:szCs w:val="21"/>
                    </w:rPr>
                    <w:t>1</w:t>
                  </w:r>
                </w:p>
              </w:tc>
              <w:tc>
                <w:tcPr>
                  <w:tcW w:w="0" w:type="auto"/>
                  <w:vMerge w:val="continue"/>
                  <w:vAlign w:val="center"/>
                </w:tcPr>
                <w:p>
                  <w:pPr>
                    <w:widowControl/>
                    <w:jc w:val="center"/>
                    <w:rPr>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0" w:type="auto"/>
                  <w:vAlign w:val="center"/>
                </w:tcPr>
                <w:p>
                  <w:pPr>
                    <w:widowControl/>
                    <w:jc w:val="center"/>
                    <w:rPr>
                      <w:kern w:val="0"/>
                      <w:szCs w:val="21"/>
                    </w:rPr>
                  </w:pPr>
                  <w:r>
                    <w:rPr>
                      <w:rFonts w:hint="eastAsia"/>
                      <w:kern w:val="0"/>
                      <w:szCs w:val="21"/>
                    </w:rPr>
                    <w:t>4</w:t>
                  </w: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kern w:val="0"/>
                      <w:szCs w:val="21"/>
                    </w:rPr>
                    <w:t>斗式提升机</w:t>
                  </w:r>
                </w:p>
              </w:tc>
              <w:tc>
                <w:tcPr>
                  <w:tcW w:w="0" w:type="auto"/>
                  <w:noWrap/>
                  <w:vAlign w:val="center"/>
                </w:tcPr>
                <w:p>
                  <w:pPr>
                    <w:widowControl/>
                    <w:jc w:val="center"/>
                    <w:rPr>
                      <w:kern w:val="0"/>
                      <w:szCs w:val="21"/>
                    </w:rPr>
                  </w:pPr>
                  <w:r>
                    <w:rPr>
                      <w:kern w:val="0"/>
                      <w:szCs w:val="21"/>
                    </w:rPr>
                    <w:t>/</w:t>
                  </w:r>
                </w:p>
              </w:tc>
              <w:tc>
                <w:tcPr>
                  <w:tcW w:w="0" w:type="auto"/>
                  <w:vAlign w:val="center"/>
                </w:tcPr>
                <w:p>
                  <w:pPr>
                    <w:widowControl/>
                    <w:jc w:val="center"/>
                    <w:rPr>
                      <w:szCs w:val="21"/>
                    </w:rPr>
                  </w:pPr>
                  <w:r>
                    <w:rPr>
                      <w:rFonts w:hint="eastAsia"/>
                      <w:szCs w:val="21"/>
                    </w:rPr>
                    <w:t>75</w:t>
                  </w: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rFonts w:hint="eastAsia"/>
                      <w:kern w:val="0"/>
                      <w:szCs w:val="21"/>
                    </w:rPr>
                    <w:t>150</w:t>
                  </w:r>
                </w:p>
              </w:tc>
              <w:tc>
                <w:tcPr>
                  <w:tcW w:w="0" w:type="auto"/>
                  <w:vAlign w:val="center"/>
                </w:tcPr>
                <w:p>
                  <w:pPr>
                    <w:widowControl/>
                    <w:jc w:val="center"/>
                    <w:rPr>
                      <w:kern w:val="0"/>
                      <w:szCs w:val="21"/>
                    </w:rPr>
                  </w:pPr>
                  <w:r>
                    <w:rPr>
                      <w:rFonts w:hint="eastAsia"/>
                      <w:kern w:val="0"/>
                      <w:szCs w:val="21"/>
                    </w:rPr>
                    <w:t>75</w:t>
                  </w:r>
                </w:p>
              </w:tc>
              <w:tc>
                <w:tcPr>
                  <w:tcW w:w="0" w:type="auto"/>
                  <w:vAlign w:val="center"/>
                </w:tcPr>
                <w:p>
                  <w:pPr>
                    <w:widowControl/>
                    <w:jc w:val="center"/>
                    <w:rPr>
                      <w:kern w:val="0"/>
                      <w:szCs w:val="21"/>
                    </w:rPr>
                  </w:pPr>
                  <w:r>
                    <w:rPr>
                      <w:rFonts w:hint="eastAsia"/>
                      <w:kern w:val="0"/>
                      <w:szCs w:val="21"/>
                    </w:rPr>
                    <w:t>1</w:t>
                  </w:r>
                </w:p>
              </w:tc>
              <w:tc>
                <w:tcPr>
                  <w:tcW w:w="0" w:type="auto"/>
                  <w:vAlign w:val="center"/>
                </w:tcPr>
                <w:p>
                  <w:pPr>
                    <w:widowControl/>
                    <w:jc w:val="center"/>
                    <w:rPr>
                      <w:kern w:val="0"/>
                      <w:szCs w:val="21"/>
                    </w:rPr>
                  </w:pPr>
                  <w:r>
                    <w:rPr>
                      <w:rFonts w:hint="eastAsia"/>
                      <w:kern w:val="0"/>
                      <w:szCs w:val="21"/>
                    </w:rPr>
                    <w:t>5</w:t>
                  </w:r>
                </w:p>
              </w:tc>
              <w:tc>
                <w:tcPr>
                  <w:tcW w:w="0" w:type="auto"/>
                  <w:vAlign w:val="center"/>
                </w:tcPr>
                <w:p>
                  <w:pPr>
                    <w:widowControl/>
                    <w:jc w:val="center"/>
                    <w:rPr>
                      <w:szCs w:val="21"/>
                    </w:rPr>
                  </w:pPr>
                  <w:r>
                    <w:rPr>
                      <w:rFonts w:hint="eastAsia"/>
                      <w:szCs w:val="21"/>
                    </w:rPr>
                    <w:t>75</w:t>
                  </w: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rFonts w:hint="eastAsia"/>
                      <w:kern w:val="0"/>
                      <w:szCs w:val="21"/>
                    </w:rPr>
                    <w:t>20</w:t>
                  </w:r>
                </w:p>
              </w:tc>
              <w:tc>
                <w:tcPr>
                  <w:tcW w:w="0" w:type="auto"/>
                  <w:vAlign w:val="center"/>
                </w:tcPr>
                <w:p>
                  <w:pPr>
                    <w:widowControl/>
                    <w:jc w:val="center"/>
                    <w:rPr>
                      <w:szCs w:val="21"/>
                    </w:rPr>
                  </w:pPr>
                  <w:r>
                    <w:rPr>
                      <w:rFonts w:hint="eastAsia"/>
                      <w:szCs w:val="21"/>
                    </w:rPr>
                    <w:t>55</w:t>
                  </w:r>
                </w:p>
              </w:tc>
              <w:tc>
                <w:tcPr>
                  <w:tcW w:w="0" w:type="auto"/>
                  <w:vAlign w:val="center"/>
                </w:tcPr>
                <w:p>
                  <w:pPr>
                    <w:widowControl/>
                    <w:jc w:val="center"/>
                    <w:rPr>
                      <w:kern w:val="0"/>
                      <w:szCs w:val="21"/>
                    </w:rPr>
                  </w:pPr>
                  <w:r>
                    <w:rPr>
                      <w:kern w:val="0"/>
                      <w:szCs w:val="21"/>
                    </w:rPr>
                    <w:t>1</w:t>
                  </w:r>
                </w:p>
              </w:tc>
              <w:tc>
                <w:tcPr>
                  <w:tcW w:w="0" w:type="auto"/>
                  <w:vMerge w:val="continue"/>
                  <w:vAlign w:val="center"/>
                </w:tcPr>
                <w:p>
                  <w:pPr>
                    <w:widowControl/>
                    <w:jc w:val="center"/>
                    <w:rPr>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0" w:type="auto"/>
                  <w:vAlign w:val="center"/>
                </w:tcPr>
                <w:p>
                  <w:pPr>
                    <w:widowControl/>
                    <w:jc w:val="center"/>
                    <w:rPr>
                      <w:kern w:val="0"/>
                      <w:szCs w:val="21"/>
                    </w:rPr>
                  </w:pPr>
                  <w:r>
                    <w:rPr>
                      <w:rFonts w:hint="eastAsia"/>
                      <w:kern w:val="0"/>
                      <w:szCs w:val="21"/>
                    </w:rPr>
                    <w:t>5</w:t>
                  </w: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kern w:val="0"/>
                      <w:szCs w:val="21"/>
                    </w:rPr>
                    <w:t>水泵</w:t>
                  </w:r>
                </w:p>
              </w:tc>
              <w:tc>
                <w:tcPr>
                  <w:tcW w:w="0" w:type="auto"/>
                  <w:noWrap/>
                  <w:vAlign w:val="center"/>
                </w:tcPr>
                <w:p>
                  <w:pPr>
                    <w:widowControl/>
                    <w:jc w:val="center"/>
                    <w:rPr>
                      <w:kern w:val="0"/>
                      <w:szCs w:val="21"/>
                    </w:rPr>
                  </w:pPr>
                  <w:r>
                    <w:rPr>
                      <w:kern w:val="0"/>
                      <w:szCs w:val="21"/>
                    </w:rPr>
                    <w:t>/</w:t>
                  </w:r>
                </w:p>
              </w:tc>
              <w:tc>
                <w:tcPr>
                  <w:tcW w:w="0" w:type="auto"/>
                  <w:vAlign w:val="center"/>
                </w:tcPr>
                <w:p>
                  <w:pPr>
                    <w:widowControl/>
                    <w:jc w:val="center"/>
                    <w:rPr>
                      <w:szCs w:val="21"/>
                    </w:rPr>
                  </w:pPr>
                  <w:r>
                    <w:rPr>
                      <w:rFonts w:hint="eastAsia"/>
                      <w:szCs w:val="21"/>
                    </w:rPr>
                    <w:t>80</w:t>
                  </w: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rFonts w:hint="eastAsia"/>
                      <w:kern w:val="0"/>
                      <w:szCs w:val="21"/>
                    </w:rPr>
                    <w:t>147</w:t>
                  </w:r>
                </w:p>
              </w:tc>
              <w:tc>
                <w:tcPr>
                  <w:tcW w:w="0" w:type="auto"/>
                  <w:vAlign w:val="center"/>
                </w:tcPr>
                <w:p>
                  <w:pPr>
                    <w:widowControl/>
                    <w:jc w:val="center"/>
                    <w:rPr>
                      <w:kern w:val="0"/>
                      <w:szCs w:val="21"/>
                    </w:rPr>
                  </w:pPr>
                  <w:r>
                    <w:rPr>
                      <w:rFonts w:hint="eastAsia"/>
                      <w:kern w:val="0"/>
                      <w:szCs w:val="21"/>
                    </w:rPr>
                    <w:t>75</w:t>
                  </w:r>
                </w:p>
              </w:tc>
              <w:tc>
                <w:tcPr>
                  <w:tcW w:w="0" w:type="auto"/>
                  <w:vAlign w:val="center"/>
                </w:tcPr>
                <w:p>
                  <w:pPr>
                    <w:widowControl/>
                    <w:jc w:val="center"/>
                    <w:rPr>
                      <w:kern w:val="0"/>
                      <w:szCs w:val="21"/>
                    </w:rPr>
                  </w:pPr>
                  <w:r>
                    <w:rPr>
                      <w:kern w:val="0"/>
                      <w:szCs w:val="21"/>
                    </w:rPr>
                    <w:t>1</w:t>
                  </w:r>
                </w:p>
              </w:tc>
              <w:tc>
                <w:tcPr>
                  <w:tcW w:w="0" w:type="auto"/>
                  <w:vAlign w:val="center"/>
                </w:tcPr>
                <w:p>
                  <w:pPr>
                    <w:widowControl/>
                    <w:jc w:val="center"/>
                    <w:rPr>
                      <w:kern w:val="0"/>
                      <w:szCs w:val="21"/>
                    </w:rPr>
                  </w:pPr>
                  <w:r>
                    <w:rPr>
                      <w:rFonts w:hint="eastAsia"/>
                      <w:kern w:val="0"/>
                      <w:szCs w:val="21"/>
                    </w:rPr>
                    <w:t>2</w:t>
                  </w:r>
                </w:p>
              </w:tc>
              <w:tc>
                <w:tcPr>
                  <w:tcW w:w="0" w:type="auto"/>
                  <w:vAlign w:val="center"/>
                </w:tcPr>
                <w:p>
                  <w:pPr>
                    <w:widowControl/>
                    <w:jc w:val="center"/>
                    <w:rPr>
                      <w:szCs w:val="21"/>
                    </w:rPr>
                  </w:pPr>
                  <w:r>
                    <w:rPr>
                      <w:rFonts w:hint="eastAsia"/>
                      <w:szCs w:val="21"/>
                    </w:rPr>
                    <w:t>80</w:t>
                  </w: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rFonts w:hint="eastAsia"/>
                      <w:kern w:val="0"/>
                      <w:szCs w:val="21"/>
                    </w:rPr>
                    <w:t>20</w:t>
                  </w:r>
                </w:p>
              </w:tc>
              <w:tc>
                <w:tcPr>
                  <w:tcW w:w="0" w:type="auto"/>
                  <w:vAlign w:val="center"/>
                </w:tcPr>
                <w:p>
                  <w:pPr>
                    <w:widowControl/>
                    <w:jc w:val="center"/>
                    <w:rPr>
                      <w:szCs w:val="21"/>
                    </w:rPr>
                  </w:pPr>
                  <w:r>
                    <w:rPr>
                      <w:rFonts w:hint="eastAsia"/>
                      <w:szCs w:val="21"/>
                    </w:rPr>
                    <w:t>60</w:t>
                  </w:r>
                </w:p>
              </w:tc>
              <w:tc>
                <w:tcPr>
                  <w:tcW w:w="0" w:type="auto"/>
                  <w:vAlign w:val="center"/>
                </w:tcPr>
                <w:p>
                  <w:pPr>
                    <w:widowControl/>
                    <w:jc w:val="center"/>
                    <w:rPr>
                      <w:kern w:val="0"/>
                      <w:szCs w:val="21"/>
                    </w:rPr>
                  </w:pPr>
                  <w:r>
                    <w:rPr>
                      <w:kern w:val="0"/>
                      <w:szCs w:val="21"/>
                    </w:rPr>
                    <w:t>1</w:t>
                  </w:r>
                </w:p>
              </w:tc>
              <w:tc>
                <w:tcPr>
                  <w:tcW w:w="0" w:type="auto"/>
                  <w:vMerge w:val="continue"/>
                  <w:vAlign w:val="center"/>
                </w:tcPr>
                <w:p>
                  <w:pPr>
                    <w:widowControl/>
                    <w:jc w:val="center"/>
                    <w:rPr>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0" w:type="auto"/>
                  <w:vAlign w:val="center"/>
                </w:tcPr>
                <w:p>
                  <w:pPr>
                    <w:widowControl/>
                    <w:jc w:val="center"/>
                    <w:rPr>
                      <w:kern w:val="0"/>
                      <w:szCs w:val="21"/>
                    </w:rPr>
                  </w:pPr>
                  <w:r>
                    <w:rPr>
                      <w:rFonts w:hint="eastAsia"/>
                      <w:kern w:val="0"/>
                      <w:szCs w:val="21"/>
                    </w:rPr>
                    <w:t>6</w:t>
                  </w: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kern w:val="0"/>
                      <w:szCs w:val="21"/>
                    </w:rPr>
                    <w:t>风机</w:t>
                  </w:r>
                </w:p>
              </w:tc>
              <w:tc>
                <w:tcPr>
                  <w:tcW w:w="0" w:type="auto"/>
                  <w:noWrap/>
                  <w:vAlign w:val="center"/>
                </w:tcPr>
                <w:p>
                  <w:pPr>
                    <w:widowControl/>
                    <w:jc w:val="center"/>
                    <w:rPr>
                      <w:kern w:val="0"/>
                      <w:szCs w:val="21"/>
                    </w:rPr>
                  </w:pPr>
                  <w:r>
                    <w:rPr>
                      <w:kern w:val="0"/>
                      <w:szCs w:val="21"/>
                    </w:rPr>
                    <w:t>/</w:t>
                  </w:r>
                </w:p>
              </w:tc>
              <w:tc>
                <w:tcPr>
                  <w:tcW w:w="0" w:type="auto"/>
                  <w:vAlign w:val="center"/>
                </w:tcPr>
                <w:p>
                  <w:pPr>
                    <w:widowControl/>
                    <w:jc w:val="center"/>
                    <w:rPr>
                      <w:szCs w:val="21"/>
                    </w:rPr>
                  </w:pPr>
                  <w:r>
                    <w:rPr>
                      <w:rFonts w:hint="eastAsia"/>
                      <w:szCs w:val="21"/>
                    </w:rPr>
                    <w:t>80</w:t>
                  </w: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rFonts w:hint="eastAsia"/>
                      <w:kern w:val="0"/>
                      <w:szCs w:val="21"/>
                    </w:rPr>
                    <w:t>145</w:t>
                  </w:r>
                </w:p>
              </w:tc>
              <w:tc>
                <w:tcPr>
                  <w:tcW w:w="0" w:type="auto"/>
                  <w:vAlign w:val="center"/>
                </w:tcPr>
                <w:p>
                  <w:pPr>
                    <w:widowControl/>
                    <w:jc w:val="center"/>
                    <w:rPr>
                      <w:kern w:val="0"/>
                      <w:szCs w:val="21"/>
                    </w:rPr>
                  </w:pPr>
                  <w:r>
                    <w:rPr>
                      <w:rFonts w:hint="eastAsia"/>
                      <w:kern w:val="0"/>
                      <w:szCs w:val="21"/>
                    </w:rPr>
                    <w:t>77</w:t>
                  </w:r>
                </w:p>
              </w:tc>
              <w:tc>
                <w:tcPr>
                  <w:tcW w:w="0" w:type="auto"/>
                  <w:vAlign w:val="center"/>
                </w:tcPr>
                <w:p>
                  <w:pPr>
                    <w:widowControl/>
                    <w:jc w:val="center"/>
                    <w:rPr>
                      <w:kern w:val="0"/>
                      <w:szCs w:val="21"/>
                    </w:rPr>
                  </w:pPr>
                  <w:r>
                    <w:rPr>
                      <w:rFonts w:hint="eastAsia"/>
                      <w:kern w:val="0"/>
                      <w:szCs w:val="21"/>
                    </w:rPr>
                    <w:t>1</w:t>
                  </w:r>
                </w:p>
              </w:tc>
              <w:tc>
                <w:tcPr>
                  <w:tcW w:w="0" w:type="auto"/>
                  <w:vAlign w:val="center"/>
                </w:tcPr>
                <w:p>
                  <w:pPr>
                    <w:widowControl/>
                    <w:jc w:val="center"/>
                    <w:rPr>
                      <w:kern w:val="0"/>
                      <w:szCs w:val="21"/>
                    </w:rPr>
                  </w:pPr>
                  <w:r>
                    <w:rPr>
                      <w:rFonts w:hint="eastAsia"/>
                      <w:kern w:val="0"/>
                      <w:szCs w:val="21"/>
                    </w:rPr>
                    <w:t>2</w:t>
                  </w:r>
                </w:p>
              </w:tc>
              <w:tc>
                <w:tcPr>
                  <w:tcW w:w="0" w:type="auto"/>
                  <w:vAlign w:val="center"/>
                </w:tcPr>
                <w:p>
                  <w:pPr>
                    <w:widowControl/>
                    <w:jc w:val="center"/>
                    <w:rPr>
                      <w:szCs w:val="21"/>
                    </w:rPr>
                  </w:pPr>
                  <w:r>
                    <w:rPr>
                      <w:rFonts w:hint="eastAsia"/>
                      <w:szCs w:val="21"/>
                    </w:rPr>
                    <w:t>80</w:t>
                  </w:r>
                </w:p>
              </w:tc>
              <w:tc>
                <w:tcPr>
                  <w:tcW w:w="0" w:type="auto"/>
                  <w:vMerge w:val="continue"/>
                  <w:vAlign w:val="center"/>
                </w:tcPr>
                <w:p>
                  <w:pPr>
                    <w:widowControl/>
                    <w:jc w:val="center"/>
                    <w:rPr>
                      <w:kern w:val="0"/>
                      <w:szCs w:val="21"/>
                    </w:rPr>
                  </w:pPr>
                </w:p>
              </w:tc>
              <w:tc>
                <w:tcPr>
                  <w:tcW w:w="0" w:type="auto"/>
                  <w:vAlign w:val="center"/>
                </w:tcPr>
                <w:p>
                  <w:pPr>
                    <w:widowControl/>
                    <w:jc w:val="center"/>
                    <w:rPr>
                      <w:kern w:val="0"/>
                      <w:szCs w:val="21"/>
                    </w:rPr>
                  </w:pPr>
                  <w:r>
                    <w:rPr>
                      <w:kern w:val="0"/>
                      <w:szCs w:val="21"/>
                    </w:rPr>
                    <w:t>20</w:t>
                  </w:r>
                </w:p>
              </w:tc>
              <w:tc>
                <w:tcPr>
                  <w:tcW w:w="0" w:type="auto"/>
                  <w:vAlign w:val="center"/>
                </w:tcPr>
                <w:p>
                  <w:pPr>
                    <w:widowControl/>
                    <w:jc w:val="center"/>
                    <w:rPr>
                      <w:szCs w:val="21"/>
                    </w:rPr>
                  </w:pPr>
                  <w:r>
                    <w:rPr>
                      <w:rFonts w:hint="eastAsia"/>
                      <w:szCs w:val="21"/>
                    </w:rPr>
                    <w:t>60</w:t>
                  </w:r>
                </w:p>
              </w:tc>
              <w:tc>
                <w:tcPr>
                  <w:tcW w:w="0" w:type="auto"/>
                  <w:vAlign w:val="center"/>
                </w:tcPr>
                <w:p>
                  <w:pPr>
                    <w:widowControl/>
                    <w:jc w:val="center"/>
                    <w:rPr>
                      <w:kern w:val="0"/>
                      <w:szCs w:val="21"/>
                    </w:rPr>
                  </w:pPr>
                  <w:r>
                    <w:rPr>
                      <w:rFonts w:hint="eastAsia"/>
                      <w:kern w:val="0"/>
                      <w:szCs w:val="21"/>
                    </w:rPr>
                    <w:t>1</w:t>
                  </w:r>
                </w:p>
              </w:tc>
              <w:tc>
                <w:tcPr>
                  <w:tcW w:w="0" w:type="auto"/>
                  <w:vMerge w:val="continue"/>
                  <w:vAlign w:val="center"/>
                </w:tcPr>
                <w:p>
                  <w:pPr>
                    <w:widowControl/>
                    <w:jc w:val="center"/>
                    <w:rPr>
                      <w:kern w:val="0"/>
                      <w:szCs w:val="21"/>
                    </w:rPr>
                  </w:pPr>
                </w:p>
              </w:tc>
            </w:tr>
          </w:tbl>
          <w:p>
            <w:pPr>
              <w:spacing w:line="360" w:lineRule="auto"/>
              <w:ind w:firstLine="420" w:firstLineChars="200"/>
              <w:rPr>
                <w:kern w:val="0"/>
                <w:szCs w:val="21"/>
              </w:rPr>
            </w:pPr>
            <w:r>
              <w:rPr>
                <w:kern w:val="0"/>
                <w:szCs w:val="21"/>
              </w:rPr>
              <w:t>注：厂界左下角是（0，0）点。</w:t>
            </w:r>
          </w:p>
          <w:p>
            <w:pPr>
              <w:pStyle w:val="46"/>
              <w:rPr>
                <w:rFonts w:eastAsia="宋体" w:cs="Times New Roman"/>
              </w:rPr>
            </w:pPr>
          </w:p>
          <w:p>
            <w:pPr>
              <w:pStyle w:val="46"/>
              <w:rPr>
                <w:rFonts w:eastAsia="宋体" w:cs="Times New Roman"/>
              </w:rPr>
            </w:pPr>
            <w:r>
              <w:rPr>
                <w:rFonts w:hint="eastAsia" w:eastAsia="宋体" w:cs="Times New Roman"/>
              </w:rPr>
              <w:t>表4-5 室外噪声源强一览表</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1"/>
              <w:gridCol w:w="1622"/>
              <w:gridCol w:w="722"/>
              <w:gridCol w:w="816"/>
              <w:gridCol w:w="763"/>
              <w:gridCol w:w="2468"/>
              <w:gridCol w:w="2239"/>
              <w:gridCol w:w="1510"/>
              <w:gridCol w:w="14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091" w:type="dxa"/>
                  <w:vMerge w:val="restart"/>
                  <w:vAlign w:val="center"/>
                </w:tcPr>
                <w:p>
                  <w:pPr>
                    <w:widowControl/>
                    <w:jc w:val="center"/>
                    <w:rPr>
                      <w:rFonts w:ascii="Times New Roman" w:hAnsi="Times New Roman"/>
                      <w:szCs w:val="21"/>
                    </w:rPr>
                  </w:pPr>
                  <w:r>
                    <w:rPr>
                      <w:rFonts w:hint="eastAsia" w:ascii="Times New Roman" w:hAnsi="Times New Roman"/>
                      <w:szCs w:val="21"/>
                    </w:rPr>
                    <w:t>序号</w:t>
                  </w:r>
                </w:p>
              </w:tc>
              <w:tc>
                <w:tcPr>
                  <w:tcW w:w="1622" w:type="dxa"/>
                  <w:vMerge w:val="restart"/>
                  <w:vAlign w:val="center"/>
                </w:tcPr>
                <w:p>
                  <w:pPr>
                    <w:widowControl/>
                    <w:jc w:val="center"/>
                    <w:rPr>
                      <w:rFonts w:ascii="Times New Roman" w:hAnsi="Times New Roman"/>
                      <w:szCs w:val="21"/>
                    </w:rPr>
                  </w:pPr>
                  <w:r>
                    <w:rPr>
                      <w:rFonts w:hint="eastAsia" w:ascii="Times New Roman" w:hAnsi="Times New Roman"/>
                      <w:szCs w:val="21"/>
                    </w:rPr>
                    <w:t>声源名称</w:t>
                  </w:r>
                </w:p>
              </w:tc>
              <w:tc>
                <w:tcPr>
                  <w:tcW w:w="2301" w:type="dxa"/>
                  <w:gridSpan w:val="3"/>
                  <w:vAlign w:val="center"/>
                </w:tcPr>
                <w:p>
                  <w:pPr>
                    <w:widowControl/>
                    <w:jc w:val="center"/>
                    <w:rPr>
                      <w:rFonts w:ascii="Times New Roman" w:hAnsi="Times New Roman"/>
                      <w:szCs w:val="21"/>
                    </w:rPr>
                  </w:pPr>
                  <w:r>
                    <w:rPr>
                      <w:rFonts w:hint="eastAsia" w:ascii="Times New Roman" w:hAnsi="Times New Roman"/>
                      <w:szCs w:val="21"/>
                    </w:rPr>
                    <w:t>空间相对位置</w:t>
                  </w:r>
                </w:p>
              </w:tc>
              <w:tc>
                <w:tcPr>
                  <w:tcW w:w="2468" w:type="dxa"/>
                  <w:vMerge w:val="restart"/>
                  <w:vAlign w:val="center"/>
                </w:tcPr>
                <w:p>
                  <w:pPr>
                    <w:widowControl/>
                    <w:jc w:val="center"/>
                    <w:rPr>
                      <w:rFonts w:ascii="Times New Roman" w:hAnsi="Times New Roman"/>
                      <w:szCs w:val="21"/>
                    </w:rPr>
                  </w:pPr>
                  <w:r>
                    <w:rPr>
                      <w:rFonts w:hint="eastAsia" w:ascii="Times New Roman" w:hAnsi="Times New Roman"/>
                      <w:szCs w:val="21"/>
                    </w:rPr>
                    <w:t>声源源强</w:t>
                  </w:r>
                </w:p>
              </w:tc>
              <w:tc>
                <w:tcPr>
                  <w:tcW w:w="2239" w:type="dxa"/>
                  <w:vMerge w:val="restart"/>
                  <w:vAlign w:val="center"/>
                </w:tcPr>
                <w:p>
                  <w:pPr>
                    <w:widowControl/>
                    <w:jc w:val="center"/>
                    <w:rPr>
                      <w:rFonts w:ascii="Times New Roman" w:hAnsi="Times New Roman"/>
                      <w:szCs w:val="21"/>
                    </w:rPr>
                  </w:pPr>
                  <w:r>
                    <w:rPr>
                      <w:rFonts w:hint="eastAsia" w:ascii="Times New Roman" w:hAnsi="Times New Roman"/>
                      <w:szCs w:val="21"/>
                    </w:rPr>
                    <w:t>声源控制措施</w:t>
                  </w:r>
                </w:p>
              </w:tc>
              <w:tc>
                <w:tcPr>
                  <w:tcW w:w="1510" w:type="dxa"/>
                  <w:vMerge w:val="restart"/>
                  <w:vAlign w:val="center"/>
                </w:tcPr>
                <w:p>
                  <w:pPr>
                    <w:widowControl/>
                    <w:jc w:val="center"/>
                    <w:rPr>
                      <w:rFonts w:ascii="Times New Roman" w:hAnsi="Times New Roman"/>
                      <w:szCs w:val="21"/>
                    </w:rPr>
                  </w:pPr>
                  <w:r>
                    <w:rPr>
                      <w:rFonts w:hint="eastAsia" w:ascii="Times New Roman" w:hAnsi="Times New Roman"/>
                      <w:szCs w:val="21"/>
                    </w:rPr>
                    <w:t>运行时段</w:t>
                  </w:r>
                </w:p>
              </w:tc>
              <w:tc>
                <w:tcPr>
                  <w:tcW w:w="1475" w:type="dxa"/>
                  <w:vMerge w:val="restart"/>
                  <w:vAlign w:val="center"/>
                </w:tcPr>
                <w:p>
                  <w:pPr>
                    <w:widowControl/>
                    <w:jc w:val="center"/>
                    <w:rPr>
                      <w:rFonts w:ascii="Calibri" w:hAnsi="Calibri"/>
                      <w:szCs w:val="21"/>
                    </w:rPr>
                  </w:pPr>
                  <w:r>
                    <w:rPr>
                      <w:rFonts w:hint="eastAsia" w:ascii="Calibri" w:hAnsi="Calibri"/>
                      <w:szCs w:val="21"/>
                    </w:rPr>
                    <w:t>年运行时间（h）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1091" w:type="dxa"/>
                  <w:vMerge w:val="continue"/>
                  <w:vAlign w:val="center"/>
                </w:tcPr>
                <w:p>
                  <w:pPr>
                    <w:widowControl/>
                    <w:jc w:val="center"/>
                    <w:rPr>
                      <w:rFonts w:ascii="Times New Roman" w:hAnsi="Times New Roman"/>
                      <w:szCs w:val="21"/>
                    </w:rPr>
                  </w:pPr>
                </w:p>
              </w:tc>
              <w:tc>
                <w:tcPr>
                  <w:tcW w:w="1622" w:type="dxa"/>
                  <w:vMerge w:val="continue"/>
                  <w:vAlign w:val="center"/>
                </w:tcPr>
                <w:p>
                  <w:pPr>
                    <w:widowControl/>
                    <w:jc w:val="center"/>
                    <w:rPr>
                      <w:rFonts w:ascii="Times New Roman" w:hAnsi="Times New Roman"/>
                      <w:szCs w:val="21"/>
                    </w:rPr>
                  </w:pPr>
                </w:p>
              </w:tc>
              <w:tc>
                <w:tcPr>
                  <w:tcW w:w="722" w:type="dxa"/>
                  <w:vMerge w:val="restart"/>
                  <w:vAlign w:val="center"/>
                </w:tcPr>
                <w:p>
                  <w:pPr>
                    <w:widowControl/>
                    <w:jc w:val="center"/>
                    <w:rPr>
                      <w:rFonts w:ascii="Times New Roman" w:hAnsi="Times New Roman"/>
                      <w:szCs w:val="21"/>
                    </w:rPr>
                  </w:pPr>
                  <w:r>
                    <w:rPr>
                      <w:rFonts w:ascii="Times New Roman" w:hAnsi="Times New Roman"/>
                      <w:szCs w:val="21"/>
                    </w:rPr>
                    <w:t>X</w:t>
                  </w:r>
                </w:p>
              </w:tc>
              <w:tc>
                <w:tcPr>
                  <w:tcW w:w="816" w:type="dxa"/>
                  <w:vMerge w:val="restart"/>
                  <w:vAlign w:val="center"/>
                </w:tcPr>
                <w:p>
                  <w:pPr>
                    <w:widowControl/>
                    <w:jc w:val="center"/>
                    <w:rPr>
                      <w:rFonts w:ascii="Times New Roman" w:hAnsi="Times New Roman"/>
                      <w:szCs w:val="21"/>
                    </w:rPr>
                  </w:pPr>
                  <w:r>
                    <w:rPr>
                      <w:rFonts w:ascii="Times New Roman" w:hAnsi="Times New Roman"/>
                      <w:szCs w:val="21"/>
                    </w:rPr>
                    <w:t>Y</w:t>
                  </w:r>
                </w:p>
              </w:tc>
              <w:tc>
                <w:tcPr>
                  <w:tcW w:w="763" w:type="dxa"/>
                  <w:vMerge w:val="restart"/>
                  <w:vAlign w:val="center"/>
                </w:tcPr>
                <w:p>
                  <w:pPr>
                    <w:widowControl/>
                    <w:jc w:val="center"/>
                    <w:rPr>
                      <w:rFonts w:ascii="Times New Roman" w:hAnsi="Times New Roman"/>
                      <w:szCs w:val="21"/>
                    </w:rPr>
                  </w:pPr>
                  <w:r>
                    <w:rPr>
                      <w:rFonts w:ascii="Times New Roman" w:hAnsi="Times New Roman"/>
                      <w:szCs w:val="21"/>
                    </w:rPr>
                    <w:t>Z</w:t>
                  </w:r>
                </w:p>
              </w:tc>
              <w:tc>
                <w:tcPr>
                  <w:tcW w:w="2468" w:type="dxa"/>
                  <w:vMerge w:val="continue"/>
                  <w:vAlign w:val="center"/>
                </w:tcPr>
                <w:p>
                  <w:pPr>
                    <w:widowControl/>
                    <w:jc w:val="center"/>
                    <w:rPr>
                      <w:rFonts w:ascii="Times New Roman" w:hAnsi="Times New Roman"/>
                      <w:szCs w:val="21"/>
                    </w:rPr>
                  </w:pPr>
                </w:p>
              </w:tc>
              <w:tc>
                <w:tcPr>
                  <w:tcW w:w="2239" w:type="dxa"/>
                  <w:vMerge w:val="continue"/>
                  <w:vAlign w:val="center"/>
                </w:tcPr>
                <w:p>
                  <w:pPr>
                    <w:widowControl/>
                    <w:jc w:val="center"/>
                    <w:rPr>
                      <w:rFonts w:ascii="Times New Roman" w:hAnsi="Times New Roman"/>
                      <w:szCs w:val="21"/>
                    </w:rPr>
                  </w:pPr>
                </w:p>
              </w:tc>
              <w:tc>
                <w:tcPr>
                  <w:tcW w:w="1510" w:type="dxa"/>
                  <w:vMerge w:val="continue"/>
                  <w:vAlign w:val="center"/>
                </w:tcPr>
                <w:p>
                  <w:pPr>
                    <w:widowControl/>
                    <w:jc w:val="center"/>
                    <w:rPr>
                      <w:rFonts w:ascii="Times New Roman" w:hAnsi="Times New Roman"/>
                      <w:szCs w:val="21"/>
                    </w:rPr>
                  </w:pPr>
                </w:p>
              </w:tc>
              <w:tc>
                <w:tcPr>
                  <w:tcW w:w="1475" w:type="dxa"/>
                  <w:vMerge w:val="continue"/>
                  <w:vAlign w:val="center"/>
                </w:tcPr>
                <w:p>
                  <w:pPr>
                    <w:widowControl/>
                    <w:jc w:val="center"/>
                    <w:rPr>
                      <w:rFonts w:ascii="Calibri" w:hAnsi="Calibri"/>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091" w:type="dxa"/>
                  <w:vMerge w:val="continue"/>
                  <w:vAlign w:val="center"/>
                </w:tcPr>
                <w:p>
                  <w:pPr>
                    <w:widowControl/>
                    <w:jc w:val="center"/>
                    <w:rPr>
                      <w:rFonts w:ascii="Times New Roman" w:hAnsi="Times New Roman"/>
                      <w:szCs w:val="21"/>
                    </w:rPr>
                  </w:pPr>
                </w:p>
              </w:tc>
              <w:tc>
                <w:tcPr>
                  <w:tcW w:w="1622" w:type="dxa"/>
                  <w:vMerge w:val="continue"/>
                  <w:vAlign w:val="center"/>
                </w:tcPr>
                <w:p>
                  <w:pPr>
                    <w:widowControl/>
                    <w:jc w:val="center"/>
                    <w:rPr>
                      <w:rFonts w:ascii="Times New Roman" w:hAnsi="Times New Roman"/>
                      <w:szCs w:val="21"/>
                    </w:rPr>
                  </w:pPr>
                </w:p>
              </w:tc>
              <w:tc>
                <w:tcPr>
                  <w:tcW w:w="722" w:type="dxa"/>
                  <w:vMerge w:val="continue"/>
                  <w:vAlign w:val="center"/>
                </w:tcPr>
                <w:p>
                  <w:pPr>
                    <w:widowControl/>
                    <w:jc w:val="center"/>
                    <w:rPr>
                      <w:rFonts w:ascii="Times New Roman" w:hAnsi="Times New Roman"/>
                      <w:szCs w:val="21"/>
                    </w:rPr>
                  </w:pPr>
                </w:p>
              </w:tc>
              <w:tc>
                <w:tcPr>
                  <w:tcW w:w="816" w:type="dxa"/>
                  <w:vMerge w:val="continue"/>
                  <w:vAlign w:val="center"/>
                </w:tcPr>
                <w:p>
                  <w:pPr>
                    <w:widowControl/>
                    <w:jc w:val="center"/>
                    <w:rPr>
                      <w:rFonts w:ascii="Times New Roman" w:hAnsi="Times New Roman"/>
                      <w:szCs w:val="21"/>
                    </w:rPr>
                  </w:pPr>
                </w:p>
              </w:tc>
              <w:tc>
                <w:tcPr>
                  <w:tcW w:w="763" w:type="dxa"/>
                  <w:vMerge w:val="continue"/>
                  <w:vAlign w:val="center"/>
                </w:tcPr>
                <w:p>
                  <w:pPr>
                    <w:widowControl/>
                    <w:jc w:val="center"/>
                    <w:rPr>
                      <w:rFonts w:ascii="Times New Roman" w:hAnsi="Times New Roman"/>
                      <w:szCs w:val="21"/>
                    </w:rPr>
                  </w:pPr>
                </w:p>
              </w:tc>
              <w:tc>
                <w:tcPr>
                  <w:tcW w:w="2468" w:type="dxa"/>
                  <w:vAlign w:val="center"/>
                </w:tcPr>
                <w:p>
                  <w:pPr>
                    <w:widowControl/>
                    <w:jc w:val="center"/>
                    <w:rPr>
                      <w:rFonts w:ascii="Times New Roman" w:hAnsi="Times New Roman"/>
                      <w:szCs w:val="21"/>
                    </w:rPr>
                  </w:pPr>
                  <w:r>
                    <w:rPr>
                      <w:rFonts w:ascii="Times New Roman" w:hAnsi="Times New Roman"/>
                      <w:szCs w:val="21"/>
                    </w:rPr>
                    <w:t>声功率级/dB（A）</w:t>
                  </w:r>
                </w:p>
              </w:tc>
              <w:tc>
                <w:tcPr>
                  <w:tcW w:w="2239" w:type="dxa"/>
                  <w:vMerge w:val="continue"/>
                  <w:vAlign w:val="center"/>
                </w:tcPr>
                <w:p>
                  <w:pPr>
                    <w:widowControl/>
                    <w:jc w:val="center"/>
                    <w:rPr>
                      <w:rFonts w:ascii="Times New Roman" w:hAnsi="Times New Roman"/>
                      <w:szCs w:val="21"/>
                    </w:rPr>
                  </w:pPr>
                </w:p>
              </w:tc>
              <w:tc>
                <w:tcPr>
                  <w:tcW w:w="1510" w:type="dxa"/>
                  <w:vMerge w:val="continue"/>
                  <w:vAlign w:val="center"/>
                </w:tcPr>
                <w:p>
                  <w:pPr>
                    <w:widowControl/>
                    <w:jc w:val="center"/>
                    <w:rPr>
                      <w:rFonts w:ascii="Times New Roman" w:hAnsi="Times New Roman"/>
                      <w:szCs w:val="21"/>
                    </w:rPr>
                  </w:pPr>
                </w:p>
              </w:tc>
              <w:tc>
                <w:tcPr>
                  <w:tcW w:w="1475" w:type="dxa"/>
                  <w:vMerge w:val="continue"/>
                  <w:vAlign w:val="center"/>
                </w:tcPr>
                <w:p>
                  <w:pPr>
                    <w:widowControl/>
                    <w:jc w:val="center"/>
                    <w:rPr>
                      <w:rFonts w:ascii="Calibri" w:hAnsi="Calibri"/>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1091" w:type="dxa"/>
                  <w:vAlign w:val="center"/>
                </w:tcPr>
                <w:p>
                  <w:pPr>
                    <w:widowControl/>
                    <w:jc w:val="center"/>
                    <w:rPr>
                      <w:rFonts w:ascii="Times New Roman" w:hAnsi="Times New Roman"/>
                      <w:szCs w:val="21"/>
                    </w:rPr>
                  </w:pPr>
                  <w:r>
                    <w:rPr>
                      <w:rFonts w:hint="eastAsia" w:ascii="Times New Roman" w:hAnsi="Times New Roman"/>
                      <w:szCs w:val="21"/>
                    </w:rPr>
                    <w:t>1</w:t>
                  </w:r>
                </w:p>
              </w:tc>
              <w:tc>
                <w:tcPr>
                  <w:tcW w:w="1622" w:type="dxa"/>
                  <w:vAlign w:val="center"/>
                </w:tcPr>
                <w:p>
                  <w:pPr>
                    <w:widowControl/>
                    <w:jc w:val="center"/>
                    <w:rPr>
                      <w:rFonts w:ascii="Times New Roman" w:hAnsi="Times New Roman"/>
                      <w:szCs w:val="21"/>
                    </w:rPr>
                  </w:pPr>
                  <w:r>
                    <w:rPr>
                      <w:rFonts w:hint="eastAsia" w:ascii="Times New Roman" w:hAnsi="Times New Roman"/>
                      <w:szCs w:val="21"/>
                    </w:rPr>
                    <w:t>运输车辆</w:t>
                  </w:r>
                </w:p>
              </w:tc>
              <w:tc>
                <w:tcPr>
                  <w:tcW w:w="722" w:type="dxa"/>
                  <w:vAlign w:val="center"/>
                </w:tcPr>
                <w:p>
                  <w:pPr>
                    <w:widowControl/>
                    <w:jc w:val="center"/>
                    <w:rPr>
                      <w:rFonts w:ascii="Times New Roman" w:hAnsi="Times New Roman"/>
                      <w:szCs w:val="21"/>
                    </w:rPr>
                  </w:pPr>
                  <w:r>
                    <w:rPr>
                      <w:rFonts w:hint="eastAsia" w:ascii="Times New Roman" w:hAnsi="Times New Roman"/>
                      <w:szCs w:val="21"/>
                    </w:rPr>
                    <w:t>145</w:t>
                  </w:r>
                </w:p>
              </w:tc>
              <w:tc>
                <w:tcPr>
                  <w:tcW w:w="816" w:type="dxa"/>
                  <w:vAlign w:val="center"/>
                </w:tcPr>
                <w:p>
                  <w:pPr>
                    <w:widowControl/>
                    <w:jc w:val="center"/>
                    <w:rPr>
                      <w:rFonts w:ascii="Times New Roman" w:hAnsi="Times New Roman"/>
                      <w:szCs w:val="21"/>
                    </w:rPr>
                  </w:pPr>
                  <w:r>
                    <w:rPr>
                      <w:rFonts w:hint="eastAsia" w:ascii="Times New Roman" w:hAnsi="Times New Roman"/>
                      <w:szCs w:val="21"/>
                    </w:rPr>
                    <w:t>209</w:t>
                  </w:r>
                </w:p>
              </w:tc>
              <w:tc>
                <w:tcPr>
                  <w:tcW w:w="763" w:type="dxa"/>
                  <w:vAlign w:val="center"/>
                </w:tcPr>
                <w:p>
                  <w:pPr>
                    <w:widowControl/>
                    <w:jc w:val="center"/>
                    <w:rPr>
                      <w:rFonts w:ascii="Times New Roman" w:hAnsi="Times New Roman"/>
                      <w:szCs w:val="21"/>
                    </w:rPr>
                  </w:pPr>
                  <w:r>
                    <w:rPr>
                      <w:rFonts w:hint="eastAsia" w:ascii="Times New Roman" w:hAnsi="Times New Roman"/>
                      <w:szCs w:val="21"/>
                    </w:rPr>
                    <w:t>1</w:t>
                  </w:r>
                </w:p>
              </w:tc>
              <w:tc>
                <w:tcPr>
                  <w:tcW w:w="2468" w:type="dxa"/>
                  <w:vAlign w:val="center"/>
                </w:tcPr>
                <w:p>
                  <w:pPr>
                    <w:widowControl/>
                    <w:jc w:val="center"/>
                    <w:rPr>
                      <w:rFonts w:ascii="Times New Roman" w:hAnsi="Times New Roman"/>
                      <w:szCs w:val="21"/>
                    </w:rPr>
                  </w:pPr>
                  <w:r>
                    <w:rPr>
                      <w:rFonts w:hint="eastAsia" w:ascii="Times New Roman" w:hAnsi="Times New Roman"/>
                      <w:szCs w:val="21"/>
                    </w:rPr>
                    <w:t>80</w:t>
                  </w:r>
                </w:p>
              </w:tc>
              <w:tc>
                <w:tcPr>
                  <w:tcW w:w="2239" w:type="dxa"/>
                  <w:vAlign w:val="center"/>
                </w:tcPr>
                <w:p>
                  <w:pPr>
                    <w:widowControl/>
                    <w:jc w:val="center"/>
                    <w:rPr>
                      <w:rFonts w:ascii="Times New Roman" w:hAnsi="Times New Roman"/>
                      <w:szCs w:val="21"/>
                    </w:rPr>
                  </w:pPr>
                  <w:r>
                    <w:rPr>
                      <w:rFonts w:ascii="Times New Roman" w:hAnsi="Times New Roman"/>
                      <w:szCs w:val="21"/>
                    </w:rPr>
                    <w:t>采取低噪声设备，建筑物隔声、基础减振</w:t>
                  </w:r>
                </w:p>
              </w:tc>
              <w:tc>
                <w:tcPr>
                  <w:tcW w:w="1510" w:type="dxa"/>
                  <w:vAlign w:val="center"/>
                </w:tcPr>
                <w:p>
                  <w:pPr>
                    <w:widowControl/>
                    <w:jc w:val="center"/>
                    <w:rPr>
                      <w:rFonts w:ascii="Times New Roman" w:hAnsi="Times New Roman"/>
                      <w:szCs w:val="21"/>
                    </w:rPr>
                  </w:pPr>
                  <w:r>
                    <w:rPr>
                      <w:rFonts w:hint="eastAsia" w:ascii="Times New Roman" w:hAnsi="Times New Roman"/>
                      <w:szCs w:val="21"/>
                    </w:rPr>
                    <w:t>昼间</w:t>
                  </w:r>
                </w:p>
              </w:tc>
              <w:tc>
                <w:tcPr>
                  <w:tcW w:w="1475" w:type="dxa"/>
                  <w:vAlign w:val="center"/>
                </w:tcPr>
                <w:p>
                  <w:pPr>
                    <w:widowControl/>
                    <w:jc w:val="center"/>
                    <w:rPr>
                      <w:rFonts w:ascii="Calibri" w:hAnsi="Calibri"/>
                      <w:szCs w:val="21"/>
                    </w:rPr>
                  </w:pPr>
                  <w:r>
                    <w:rPr>
                      <w:rFonts w:hint="eastAsia" w:ascii="Calibri" w:hAnsi="Calibri"/>
                      <w:szCs w:val="21"/>
                    </w:rPr>
                    <w:t>2400</w:t>
                  </w:r>
                </w:p>
              </w:tc>
            </w:tr>
          </w:tbl>
          <w:p>
            <w:pPr>
              <w:spacing w:line="360" w:lineRule="auto"/>
              <w:ind w:firstLine="420" w:firstLineChars="200"/>
              <w:rPr>
                <w:kern w:val="0"/>
                <w:szCs w:val="21"/>
              </w:rPr>
            </w:pPr>
            <w:r>
              <w:rPr>
                <w:kern w:val="0"/>
                <w:szCs w:val="21"/>
              </w:rPr>
              <w:t>注：厂界左下角是（0，0）点。</w:t>
            </w:r>
          </w:p>
          <w:p>
            <w:pPr>
              <w:pStyle w:val="52"/>
              <w:ind w:firstLine="0" w:firstLineChars="0"/>
              <w:rPr>
                <w:rFonts w:cs="Times New Roman"/>
                <w:color w:val="auto"/>
              </w:rPr>
            </w:pPr>
          </w:p>
        </w:tc>
      </w:tr>
    </w:tbl>
    <w:p>
      <w:pPr>
        <w:sectPr>
          <w:pgSz w:w="16840" w:h="11907" w:orient="landscape"/>
          <w:pgMar w:top="1531" w:right="2127" w:bottom="1531" w:left="1701" w:header="851" w:footer="851" w:gutter="0"/>
          <w:cols w:space="720" w:num="1"/>
          <w:docGrid w:linePitch="312" w:charSpace="0"/>
        </w:sectPr>
      </w:pPr>
    </w:p>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9"/>
        <w:gridCol w:w="81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06" w:hRule="atLeast"/>
          <w:jc w:val="center"/>
        </w:trPr>
        <w:tc>
          <w:tcPr>
            <w:tcW w:w="699" w:type="dxa"/>
            <w:tcMar>
              <w:left w:w="28" w:type="dxa"/>
              <w:right w:w="28" w:type="dxa"/>
            </w:tcMar>
            <w:vAlign w:val="center"/>
          </w:tcPr>
          <w:p>
            <w:pPr>
              <w:jc w:val="center"/>
              <w:rPr>
                <w:bCs/>
                <w:sz w:val="24"/>
              </w:rPr>
            </w:pPr>
            <w:r>
              <w:rPr>
                <w:bCs/>
                <w:sz w:val="24"/>
              </w:rPr>
              <w:t>运营</w:t>
            </w:r>
          </w:p>
          <w:p>
            <w:pPr>
              <w:jc w:val="center"/>
              <w:rPr>
                <w:bCs/>
                <w:sz w:val="24"/>
              </w:rPr>
            </w:pPr>
            <w:r>
              <w:rPr>
                <w:bCs/>
                <w:sz w:val="24"/>
              </w:rPr>
              <w:t>期环</w:t>
            </w:r>
          </w:p>
          <w:p>
            <w:pPr>
              <w:jc w:val="center"/>
              <w:rPr>
                <w:bCs/>
                <w:sz w:val="24"/>
              </w:rPr>
            </w:pPr>
            <w:r>
              <w:rPr>
                <w:bCs/>
                <w:sz w:val="24"/>
              </w:rPr>
              <w:t>境影</w:t>
            </w:r>
          </w:p>
          <w:p>
            <w:pPr>
              <w:jc w:val="center"/>
              <w:rPr>
                <w:bCs/>
                <w:sz w:val="24"/>
              </w:rPr>
            </w:pPr>
            <w:r>
              <w:rPr>
                <w:bCs/>
                <w:sz w:val="24"/>
              </w:rPr>
              <w:t>响和</w:t>
            </w:r>
          </w:p>
          <w:p>
            <w:pPr>
              <w:jc w:val="center"/>
              <w:rPr>
                <w:bCs/>
                <w:sz w:val="24"/>
              </w:rPr>
            </w:pPr>
            <w:r>
              <w:rPr>
                <w:bCs/>
                <w:sz w:val="24"/>
              </w:rPr>
              <w:t>保护</w:t>
            </w:r>
          </w:p>
          <w:p>
            <w:pPr>
              <w:jc w:val="center"/>
              <w:rPr>
                <w:bCs/>
                <w:sz w:val="24"/>
              </w:rPr>
            </w:pPr>
            <w:r>
              <w:rPr>
                <w:bCs/>
                <w:sz w:val="24"/>
              </w:rPr>
              <w:t>措施</w:t>
            </w:r>
          </w:p>
        </w:tc>
        <w:tc>
          <w:tcPr>
            <w:tcW w:w="8126" w:type="dxa"/>
          </w:tcPr>
          <w:p>
            <w:pPr>
              <w:spacing w:line="360" w:lineRule="auto"/>
              <w:ind w:firstLine="480" w:firstLineChars="200"/>
              <w:rPr>
                <w:bCs/>
                <w:snapToGrid w:val="0"/>
                <w:kern w:val="0"/>
                <w:sz w:val="24"/>
              </w:rPr>
            </w:pPr>
            <w:r>
              <w:rPr>
                <w:bCs/>
                <w:snapToGrid w:val="0"/>
                <w:kern w:val="0"/>
                <w:sz w:val="24"/>
              </w:rPr>
              <w:t>2、噪声影响预测模式</w:t>
            </w:r>
          </w:p>
          <w:p>
            <w:pPr>
              <w:spacing w:line="360" w:lineRule="auto"/>
              <w:ind w:firstLine="480" w:firstLineChars="200"/>
              <w:rPr>
                <w:bCs/>
                <w:snapToGrid w:val="0"/>
                <w:kern w:val="0"/>
                <w:sz w:val="24"/>
              </w:rPr>
            </w:pPr>
            <w:r>
              <w:rPr>
                <w:bCs/>
                <w:snapToGrid w:val="0"/>
                <w:kern w:val="0"/>
                <w:sz w:val="24"/>
              </w:rPr>
              <w:t>根据《环境影响评价技术导则 声环境》（HJ2.4-2021）中附录A推荐的计算模式：</w:t>
            </w:r>
          </w:p>
          <w:p>
            <w:pPr>
              <w:spacing w:line="360" w:lineRule="auto"/>
              <w:ind w:firstLine="480" w:firstLineChars="200"/>
              <w:rPr>
                <w:bCs/>
                <w:snapToGrid w:val="0"/>
                <w:kern w:val="0"/>
                <w:sz w:val="24"/>
              </w:rPr>
            </w:pPr>
            <w:r>
              <w:rPr>
                <w:bCs/>
                <w:snapToGrid w:val="0"/>
                <w:kern w:val="0"/>
                <w:sz w:val="24"/>
              </w:rPr>
              <w:t>声环境影响预测，一般采用声源的倍频带声功率级、A声功率级或靠近声源某一位置的倍频带声压级、A声级来预测计算距声源不同距离的声级。工业声源有室外和室内两种声源，应分别计算。</w:t>
            </w:r>
          </w:p>
          <w:p>
            <w:pPr>
              <w:spacing w:line="360" w:lineRule="auto"/>
              <w:ind w:firstLine="481" w:firstLineChars="200"/>
              <w:rPr>
                <w:b/>
                <w:bCs/>
                <w:snapToGrid w:val="0"/>
                <w:kern w:val="0"/>
                <w:sz w:val="24"/>
              </w:rPr>
            </w:pPr>
            <w:r>
              <w:rPr>
                <w:b/>
                <w:bCs/>
                <w:kern w:val="0"/>
                <w:sz w:val="24"/>
              </w:rPr>
              <w:t>室外声源</w:t>
            </w:r>
          </w:p>
          <w:p>
            <w:pPr>
              <w:spacing w:line="360" w:lineRule="auto"/>
              <w:ind w:firstLine="480" w:firstLineChars="200"/>
              <w:rPr>
                <w:bCs/>
                <w:snapToGrid w:val="0"/>
                <w:kern w:val="0"/>
                <w:sz w:val="24"/>
              </w:rPr>
            </w:pPr>
            <w:r>
              <w:rPr>
                <w:bCs/>
                <w:snapToGrid w:val="0"/>
                <w:kern w:val="0"/>
                <w:sz w:val="24"/>
              </w:rPr>
              <w:t>其中室外声源在预测点产生的声级计算模型采用无指向性点声源几何发散衰减，其基本公式如下：</w:t>
            </w:r>
          </w:p>
          <w:p>
            <w:pPr>
              <w:spacing w:line="360" w:lineRule="auto"/>
              <w:ind w:firstLine="480" w:firstLineChars="200"/>
              <w:jc w:val="center"/>
              <w:rPr>
                <w:bCs/>
                <w:snapToGrid w:val="0"/>
                <w:kern w:val="0"/>
                <w:sz w:val="24"/>
              </w:rPr>
            </w:pPr>
            <w:r>
              <w:rPr>
                <w:kern w:val="0"/>
                <w:sz w:val="24"/>
              </w:rPr>
              <w:drawing>
                <wp:inline distT="0" distB="0" distL="0" distR="0">
                  <wp:extent cx="1701165" cy="287020"/>
                  <wp:effectExtent l="0" t="0" r="0" b="0"/>
                  <wp:docPr id="1185011280" name="图片 188155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011280" name="图片 18815505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701165" cy="287020"/>
                          </a:xfrm>
                          <a:prstGeom prst="rect">
                            <a:avLst/>
                          </a:prstGeom>
                          <a:noFill/>
                          <a:ln>
                            <a:noFill/>
                          </a:ln>
                        </pic:spPr>
                      </pic:pic>
                    </a:graphicData>
                  </a:graphic>
                </wp:inline>
              </w:drawing>
            </w:r>
          </w:p>
          <w:p>
            <w:pPr>
              <w:spacing w:line="360" w:lineRule="auto"/>
              <w:ind w:firstLine="480" w:firstLineChars="200"/>
              <w:rPr>
                <w:bCs/>
                <w:snapToGrid w:val="0"/>
                <w:kern w:val="0"/>
                <w:sz w:val="24"/>
              </w:rPr>
            </w:pPr>
            <w:r>
              <w:rPr>
                <w:bCs/>
                <w:snapToGrid w:val="0"/>
                <w:kern w:val="0"/>
                <w:sz w:val="24"/>
              </w:rPr>
              <w:t>式中：L</w:t>
            </w:r>
            <w:r>
              <w:rPr>
                <w:bCs/>
                <w:snapToGrid w:val="0"/>
                <w:kern w:val="0"/>
                <w:sz w:val="24"/>
                <w:vertAlign w:val="subscript"/>
              </w:rPr>
              <w:t>p</w:t>
            </w:r>
            <w:r>
              <w:rPr>
                <w:bCs/>
                <w:snapToGrid w:val="0"/>
                <w:kern w:val="0"/>
                <w:sz w:val="24"/>
              </w:rPr>
              <w:t>(r)——预测点处声压级，dB；</w:t>
            </w:r>
          </w:p>
          <w:p>
            <w:pPr>
              <w:spacing w:line="360" w:lineRule="auto"/>
              <w:ind w:firstLine="480" w:firstLineChars="200"/>
              <w:rPr>
                <w:bCs/>
                <w:snapToGrid w:val="0"/>
                <w:kern w:val="0"/>
                <w:sz w:val="24"/>
              </w:rPr>
            </w:pPr>
            <w:r>
              <w:rPr>
                <w:bCs/>
                <w:snapToGrid w:val="0"/>
                <w:kern w:val="0"/>
                <w:sz w:val="24"/>
              </w:rPr>
              <w:t>Lp(r</w:t>
            </w:r>
            <w:r>
              <w:rPr>
                <w:bCs/>
                <w:snapToGrid w:val="0"/>
                <w:kern w:val="0"/>
                <w:sz w:val="24"/>
                <w:vertAlign w:val="subscript"/>
              </w:rPr>
              <w:t>0</w:t>
            </w:r>
            <w:r>
              <w:rPr>
                <w:bCs/>
                <w:snapToGrid w:val="0"/>
                <w:kern w:val="0"/>
                <w:sz w:val="24"/>
              </w:rPr>
              <w:t>)——参考位置r</w:t>
            </w:r>
            <w:r>
              <w:rPr>
                <w:bCs/>
                <w:snapToGrid w:val="0"/>
                <w:kern w:val="0"/>
                <w:sz w:val="24"/>
                <w:vertAlign w:val="subscript"/>
              </w:rPr>
              <w:t>0</w:t>
            </w:r>
            <w:r>
              <w:rPr>
                <w:bCs/>
                <w:snapToGrid w:val="0"/>
                <w:kern w:val="0"/>
                <w:sz w:val="24"/>
              </w:rPr>
              <w:t>处的声压级，dB；</w:t>
            </w:r>
          </w:p>
          <w:p>
            <w:pPr>
              <w:spacing w:line="360" w:lineRule="auto"/>
              <w:ind w:firstLine="480" w:firstLineChars="200"/>
              <w:rPr>
                <w:bCs/>
                <w:snapToGrid w:val="0"/>
                <w:kern w:val="0"/>
                <w:sz w:val="24"/>
              </w:rPr>
            </w:pPr>
            <w:r>
              <w:rPr>
                <w:bCs/>
                <w:snapToGrid w:val="0"/>
                <w:kern w:val="0"/>
                <w:sz w:val="24"/>
              </w:rPr>
              <w:t>r——预测点距声源的距离；</w:t>
            </w:r>
          </w:p>
          <w:p>
            <w:pPr>
              <w:spacing w:line="360" w:lineRule="auto"/>
              <w:ind w:firstLine="480" w:firstLineChars="200"/>
              <w:rPr>
                <w:bCs/>
                <w:snapToGrid w:val="0"/>
                <w:kern w:val="0"/>
                <w:sz w:val="24"/>
              </w:rPr>
            </w:pPr>
            <w:r>
              <w:rPr>
                <w:bCs/>
                <w:snapToGrid w:val="0"/>
                <w:kern w:val="0"/>
                <w:sz w:val="24"/>
              </w:rPr>
              <w:t>r</w:t>
            </w:r>
            <w:r>
              <w:rPr>
                <w:bCs/>
                <w:snapToGrid w:val="0"/>
                <w:kern w:val="0"/>
                <w:sz w:val="24"/>
                <w:vertAlign w:val="subscript"/>
              </w:rPr>
              <w:t>0</w:t>
            </w:r>
            <w:r>
              <w:rPr>
                <w:bCs/>
                <w:snapToGrid w:val="0"/>
                <w:kern w:val="0"/>
                <w:sz w:val="24"/>
              </w:rPr>
              <w:t>——参考位置距声源的距离。</w:t>
            </w:r>
          </w:p>
          <w:p>
            <w:pPr>
              <w:spacing w:line="360" w:lineRule="auto"/>
              <w:ind w:firstLine="481" w:firstLineChars="200"/>
              <w:rPr>
                <w:bCs/>
                <w:snapToGrid w:val="0"/>
                <w:kern w:val="0"/>
                <w:sz w:val="24"/>
              </w:rPr>
            </w:pPr>
            <w:r>
              <w:rPr>
                <w:b/>
                <w:bCs/>
                <w:snapToGrid w:val="0"/>
                <w:kern w:val="0"/>
                <w:sz w:val="24"/>
              </w:rPr>
              <w:t>室内声源</w:t>
            </w:r>
          </w:p>
          <w:p>
            <w:pPr>
              <w:spacing w:line="360" w:lineRule="auto"/>
              <w:ind w:firstLine="480" w:firstLineChars="200"/>
              <w:rPr>
                <w:bCs/>
                <w:snapToGrid w:val="0"/>
                <w:kern w:val="0"/>
                <w:sz w:val="24"/>
              </w:rPr>
            </w:pPr>
            <w:r>
              <w:rPr>
                <w:bCs/>
                <w:snapToGrid w:val="0"/>
                <w:kern w:val="0"/>
                <w:sz w:val="24"/>
              </w:rPr>
              <w:t>如图所示，声源位于室内，室内声源可采用等效室外声源声功率级法进行计算。设靠近开口处（或窗户）室内、室外某倍频带的声压级或A声级分别为Lp</w:t>
            </w:r>
            <w:r>
              <w:rPr>
                <w:bCs/>
                <w:snapToGrid w:val="0"/>
                <w:kern w:val="0"/>
                <w:sz w:val="24"/>
                <w:vertAlign w:val="subscript"/>
              </w:rPr>
              <w:t>1</w:t>
            </w:r>
            <w:r>
              <w:rPr>
                <w:bCs/>
                <w:snapToGrid w:val="0"/>
                <w:kern w:val="0"/>
                <w:sz w:val="24"/>
              </w:rPr>
              <w:t>和Lp</w:t>
            </w:r>
            <w:r>
              <w:rPr>
                <w:bCs/>
                <w:snapToGrid w:val="0"/>
                <w:kern w:val="0"/>
                <w:sz w:val="24"/>
                <w:vertAlign w:val="subscript"/>
              </w:rPr>
              <w:t>2</w:t>
            </w:r>
            <w:r>
              <w:rPr>
                <w:bCs/>
                <w:snapToGrid w:val="0"/>
                <w:kern w:val="0"/>
                <w:sz w:val="24"/>
              </w:rPr>
              <w:t>。若声源所在室内声场为近似扩散声场，则室外的倍</w:t>
            </w:r>
            <w:r>
              <w:drawing>
                <wp:anchor distT="0" distB="0" distL="114300" distR="114300" simplePos="0" relativeHeight="251686912" behindDoc="0" locked="0" layoutInCell="1" allowOverlap="1">
                  <wp:simplePos x="0" y="0"/>
                  <wp:positionH relativeFrom="column">
                    <wp:posOffset>1694815</wp:posOffset>
                  </wp:positionH>
                  <wp:positionV relativeFrom="paragraph">
                    <wp:posOffset>274955</wp:posOffset>
                  </wp:positionV>
                  <wp:extent cx="3124200" cy="262890"/>
                  <wp:effectExtent l="0" t="0" r="0" b="3810"/>
                  <wp:wrapTopAndBottom/>
                  <wp:docPr id="681181991" name="图片 1691748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181991" name="图片 16917484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3124200" cy="262890"/>
                          </a:xfrm>
                          <a:prstGeom prst="rect">
                            <a:avLst/>
                          </a:prstGeom>
                          <a:noFill/>
                        </pic:spPr>
                      </pic:pic>
                    </a:graphicData>
                  </a:graphic>
                </wp:anchor>
              </w:drawing>
            </w:r>
            <w:r>
              <w:rPr>
                <w:bCs/>
                <w:snapToGrid w:val="0"/>
                <w:kern w:val="0"/>
                <w:sz w:val="24"/>
              </w:rPr>
              <w:t>频带声压级可按式（B.1）近似求出：</w:t>
            </w:r>
          </w:p>
          <w:p>
            <w:pPr>
              <w:spacing w:line="360" w:lineRule="auto"/>
              <w:ind w:firstLine="480" w:firstLineChars="200"/>
              <w:rPr>
                <w:bCs/>
                <w:snapToGrid w:val="0"/>
                <w:kern w:val="0"/>
                <w:sz w:val="24"/>
              </w:rPr>
            </w:pPr>
            <w:r>
              <w:rPr>
                <w:bCs/>
                <w:snapToGrid w:val="0"/>
                <w:kern w:val="0"/>
                <w:sz w:val="24"/>
              </w:rPr>
              <w:t>式中：</w:t>
            </w:r>
            <w:r>
              <w:rPr>
                <w:kern w:val="0"/>
                <w:sz w:val="24"/>
              </w:rPr>
              <w:t>L</w:t>
            </w:r>
            <w:r>
              <w:rPr>
                <w:kern w:val="0"/>
                <w:sz w:val="24"/>
                <w:vertAlign w:val="subscript"/>
              </w:rPr>
              <w:t>p1</w:t>
            </w:r>
            <w:r>
              <w:rPr>
                <w:kern w:val="0"/>
                <w:sz w:val="24"/>
              </w:rPr>
              <w:t>——靠近开口处（或窗户）室内某倍频带的声压级或A声级，dB；L</w:t>
            </w:r>
            <w:r>
              <w:rPr>
                <w:kern w:val="0"/>
                <w:sz w:val="24"/>
                <w:vertAlign w:val="subscript"/>
              </w:rPr>
              <w:t>p2</w:t>
            </w:r>
            <w:r>
              <w:rPr>
                <w:kern w:val="0"/>
                <w:sz w:val="24"/>
              </w:rPr>
              <w:t>——靠近开口处（或窗户）室外某倍频带的声压级或A声级，dB；TL——隔墙（或窗户）倍频带或A声级的隔声量，dB。</w:t>
            </w:r>
          </w:p>
          <w:p>
            <w:pPr>
              <w:spacing w:line="360" w:lineRule="auto"/>
              <w:ind w:firstLine="480" w:firstLineChars="200"/>
              <w:jc w:val="center"/>
              <w:rPr>
                <w:bCs/>
                <w:snapToGrid w:val="0"/>
                <w:kern w:val="0"/>
                <w:sz w:val="24"/>
              </w:rPr>
            </w:pPr>
            <w:r>
              <w:rPr>
                <w:kern w:val="0"/>
                <w:sz w:val="24"/>
              </w:rPr>
              <w:drawing>
                <wp:inline distT="0" distB="0" distL="0" distR="0">
                  <wp:extent cx="3030220" cy="1382395"/>
                  <wp:effectExtent l="0" t="0" r="0" b="8255"/>
                  <wp:docPr id="32" name="图片 1754327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75432796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3030220" cy="1382395"/>
                          </a:xfrm>
                          <a:prstGeom prst="rect">
                            <a:avLst/>
                          </a:prstGeom>
                          <a:noFill/>
                          <a:ln>
                            <a:noFill/>
                          </a:ln>
                        </pic:spPr>
                      </pic:pic>
                    </a:graphicData>
                  </a:graphic>
                </wp:inline>
              </w:drawing>
            </w:r>
          </w:p>
          <w:p>
            <w:pPr>
              <w:spacing w:line="360" w:lineRule="auto"/>
              <w:ind w:firstLine="480" w:firstLineChars="200"/>
              <w:rPr>
                <w:kern w:val="0"/>
                <w:sz w:val="24"/>
              </w:rPr>
            </w:pPr>
            <w:r>
              <w:rPr>
                <w:kern w:val="0"/>
                <w:sz w:val="24"/>
              </w:rPr>
              <w:t>也可按（B.2）式计算某一室内声源靠近围护结构处产生的倍频带声压级或A声级：</w:t>
            </w:r>
          </w:p>
          <w:p>
            <w:pPr>
              <w:spacing w:line="360" w:lineRule="auto"/>
              <w:ind w:firstLine="480" w:firstLineChars="200"/>
              <w:jc w:val="right"/>
              <w:rPr>
                <w:bCs/>
                <w:snapToGrid w:val="0"/>
                <w:kern w:val="0"/>
                <w:sz w:val="24"/>
              </w:rPr>
            </w:pPr>
            <w:r>
              <w:rPr>
                <w:kern w:val="0"/>
                <w:sz w:val="24"/>
              </w:rPr>
              <w:drawing>
                <wp:inline distT="0" distB="0" distL="0" distR="0">
                  <wp:extent cx="3359785" cy="372110"/>
                  <wp:effectExtent l="0" t="0" r="0" b="8890"/>
                  <wp:docPr id="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3359785" cy="372110"/>
                          </a:xfrm>
                          <a:prstGeom prst="rect">
                            <a:avLst/>
                          </a:prstGeom>
                          <a:noFill/>
                          <a:ln>
                            <a:noFill/>
                          </a:ln>
                        </pic:spPr>
                      </pic:pic>
                    </a:graphicData>
                  </a:graphic>
                </wp:inline>
              </w:drawing>
            </w:r>
          </w:p>
          <w:p>
            <w:pPr>
              <w:spacing w:line="360" w:lineRule="auto"/>
              <w:ind w:firstLine="480" w:firstLineChars="200"/>
              <w:rPr>
                <w:kern w:val="0"/>
                <w:sz w:val="24"/>
              </w:rPr>
            </w:pPr>
            <w:r>
              <w:rPr>
                <w:kern w:val="0"/>
                <w:sz w:val="24"/>
              </w:rPr>
              <w:t>式中：L</w:t>
            </w:r>
            <w:r>
              <w:rPr>
                <w:kern w:val="0"/>
                <w:sz w:val="24"/>
                <w:vertAlign w:val="subscript"/>
              </w:rPr>
              <w:t>p1</w:t>
            </w:r>
            <w:r>
              <w:rPr>
                <w:kern w:val="0"/>
                <w:sz w:val="24"/>
              </w:rPr>
              <w:t>——靠近开口处（或窗户）室内某倍频带的声压级或A声级，dB；L</w:t>
            </w:r>
            <w:r>
              <w:rPr>
                <w:kern w:val="0"/>
                <w:sz w:val="24"/>
                <w:vertAlign w:val="subscript"/>
              </w:rPr>
              <w:t xml:space="preserve">w </w:t>
            </w:r>
            <w:r>
              <w:rPr>
                <w:kern w:val="0"/>
                <w:sz w:val="24"/>
              </w:rPr>
              <w:t xml:space="preserve">——点声源声功率级（A计权或倍频带），dB；Q——指向性因数；通常对无指向性声源，当声源放在房间中心时，Q=1；当放在一面墙的中心时，Q=2；当放在两面墙夹角处时，Q=4；当放在三面墙夹角处时，Q=8；R——房间常数；R </w:t>
            </w:r>
            <w:r>
              <w:rPr>
                <w:kern w:val="0"/>
                <w:sz w:val="24"/>
              </w:rPr>
              <w:sym w:font="Symbol" w:char="F03D"/>
            </w:r>
            <w:r>
              <w:rPr>
                <w:kern w:val="0"/>
                <w:sz w:val="24"/>
              </w:rPr>
              <w:t>S</w:t>
            </w:r>
            <w:r>
              <w:rPr>
                <w:kern w:val="0"/>
                <w:sz w:val="24"/>
              </w:rPr>
              <w:sym w:font="Symbol" w:char="F061"/>
            </w:r>
            <w:r>
              <w:rPr>
                <w:kern w:val="0"/>
                <w:sz w:val="24"/>
              </w:rPr>
              <w:t>/</w:t>
            </w:r>
            <w:r>
              <w:rPr>
                <w:kern w:val="0"/>
                <w:sz w:val="24"/>
              </w:rPr>
              <w:sym w:font="Symbol" w:char="F028"/>
            </w:r>
            <w:r>
              <w:rPr>
                <w:kern w:val="0"/>
                <w:sz w:val="24"/>
              </w:rPr>
              <w:t>1-</w:t>
            </w:r>
            <w:r>
              <w:rPr>
                <w:kern w:val="0"/>
                <w:sz w:val="24"/>
              </w:rPr>
              <w:sym w:font="Symbol" w:char="F061"/>
            </w:r>
            <w:r>
              <w:rPr>
                <w:kern w:val="0"/>
                <w:sz w:val="24"/>
              </w:rPr>
              <w:sym w:font="Symbol" w:char="F029"/>
            </w:r>
            <w:r>
              <w:rPr>
                <w:kern w:val="0"/>
                <w:sz w:val="24"/>
              </w:rPr>
              <w:t>，S为房间内表面面积，m</w:t>
            </w:r>
            <w:r>
              <w:rPr>
                <w:kern w:val="0"/>
                <w:sz w:val="24"/>
                <w:vertAlign w:val="superscript"/>
              </w:rPr>
              <w:t>2</w:t>
            </w:r>
            <w:r>
              <w:rPr>
                <w:kern w:val="0"/>
                <w:sz w:val="24"/>
              </w:rPr>
              <w:t>；α为平均吸声系数；r——声源到靠近围护结构某点处的距离，m。</w:t>
            </w:r>
          </w:p>
          <w:p>
            <w:pPr>
              <w:spacing w:line="360" w:lineRule="auto"/>
              <w:ind w:firstLine="480" w:firstLineChars="200"/>
              <w:rPr>
                <w:kern w:val="0"/>
                <w:sz w:val="24"/>
              </w:rPr>
            </w:pPr>
            <w:r>
              <w:rPr>
                <w:kern w:val="0"/>
                <w:sz w:val="24"/>
              </w:rPr>
              <w:t>然后按式（B.3）计算出所有室内声源在围护结构处产生的i倍频带叠加声压级：</w:t>
            </w:r>
          </w:p>
          <w:p>
            <w:pPr>
              <w:spacing w:line="360" w:lineRule="auto"/>
              <w:ind w:firstLine="480" w:firstLineChars="200"/>
              <w:jc w:val="right"/>
              <w:rPr>
                <w:kern w:val="0"/>
                <w:sz w:val="24"/>
              </w:rPr>
            </w:pPr>
            <w:r>
              <w:rPr>
                <w:kern w:val="0"/>
                <w:sz w:val="24"/>
              </w:rPr>
              <w:drawing>
                <wp:inline distT="0" distB="0" distL="0" distR="0">
                  <wp:extent cx="3296285" cy="393700"/>
                  <wp:effectExtent l="0" t="0" r="0" b="6350"/>
                  <wp:docPr id="16257854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785466" name="图片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3296285" cy="393700"/>
                          </a:xfrm>
                          <a:prstGeom prst="rect">
                            <a:avLst/>
                          </a:prstGeom>
                          <a:noFill/>
                          <a:ln>
                            <a:noFill/>
                          </a:ln>
                        </pic:spPr>
                      </pic:pic>
                    </a:graphicData>
                  </a:graphic>
                </wp:inline>
              </w:drawing>
            </w:r>
          </w:p>
          <w:p>
            <w:pPr>
              <w:spacing w:line="360" w:lineRule="auto"/>
              <w:ind w:firstLine="480" w:firstLineChars="200"/>
              <w:rPr>
                <w:kern w:val="0"/>
                <w:sz w:val="24"/>
              </w:rPr>
            </w:pPr>
            <w:r>
              <w:rPr>
                <w:kern w:val="0"/>
                <w:sz w:val="24"/>
              </w:rPr>
              <w:t>式中：L</w:t>
            </w:r>
            <w:r>
              <w:rPr>
                <w:kern w:val="0"/>
                <w:sz w:val="24"/>
                <w:vertAlign w:val="subscript"/>
              </w:rPr>
              <w:t>pli</w:t>
            </w:r>
            <w:r>
              <w:rPr>
                <w:kern w:val="0"/>
                <w:sz w:val="24"/>
              </w:rPr>
              <w:sym w:font="Symbol" w:char="F028"/>
            </w:r>
            <w:r>
              <w:rPr>
                <w:kern w:val="0"/>
                <w:sz w:val="24"/>
              </w:rPr>
              <w:t>T</w:t>
            </w:r>
            <w:r>
              <w:rPr>
                <w:kern w:val="0"/>
                <w:sz w:val="24"/>
              </w:rPr>
              <w:sym w:font="Symbol" w:char="F029"/>
            </w:r>
            <w:r>
              <w:rPr>
                <w:kern w:val="0"/>
                <w:sz w:val="24"/>
              </w:rPr>
              <w:t>——靠近围护结构处室内N个声源i倍频带的叠加声压级，dB；L</w:t>
            </w:r>
            <w:r>
              <w:rPr>
                <w:kern w:val="0"/>
                <w:sz w:val="24"/>
                <w:vertAlign w:val="subscript"/>
              </w:rPr>
              <w:t>pli</w:t>
            </w:r>
            <w:r>
              <w:rPr>
                <w:kern w:val="0"/>
                <w:sz w:val="24"/>
              </w:rPr>
              <w:t>j——室内j声源i倍频带的声压级，dB；N——室内声源总数。</w:t>
            </w:r>
          </w:p>
          <w:p>
            <w:pPr>
              <w:spacing w:line="360" w:lineRule="auto"/>
              <w:ind w:firstLine="480" w:firstLineChars="200"/>
              <w:rPr>
                <w:kern w:val="0"/>
                <w:sz w:val="24"/>
              </w:rPr>
            </w:pPr>
            <w:r>
              <w:rPr>
                <w:kern w:val="0"/>
                <w:sz w:val="24"/>
              </w:rPr>
              <w:t>在室内近似为扩散声场时，按式（B.4）计算出靠近室外围护结构处的声压级：</w:t>
            </w:r>
          </w:p>
          <w:p>
            <w:pPr>
              <w:spacing w:line="360" w:lineRule="auto"/>
              <w:ind w:firstLine="480" w:firstLineChars="200"/>
              <w:jc w:val="right"/>
              <w:rPr>
                <w:kern w:val="0"/>
                <w:sz w:val="24"/>
              </w:rPr>
            </w:pPr>
            <w:r>
              <w:rPr>
                <w:kern w:val="0"/>
                <w:sz w:val="24"/>
              </w:rPr>
              <w:drawing>
                <wp:inline distT="0" distB="0" distL="0" distR="0">
                  <wp:extent cx="3434080" cy="233680"/>
                  <wp:effectExtent l="0" t="0" r="0" b="0"/>
                  <wp:docPr id="35" name="图片 790709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907090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3434080" cy="233680"/>
                          </a:xfrm>
                          <a:prstGeom prst="rect">
                            <a:avLst/>
                          </a:prstGeom>
                          <a:noFill/>
                          <a:ln>
                            <a:noFill/>
                          </a:ln>
                        </pic:spPr>
                      </pic:pic>
                    </a:graphicData>
                  </a:graphic>
                </wp:inline>
              </w:drawing>
            </w:r>
          </w:p>
          <w:p>
            <w:pPr>
              <w:spacing w:line="360" w:lineRule="auto"/>
              <w:ind w:firstLine="480" w:firstLineChars="200"/>
              <w:rPr>
                <w:kern w:val="0"/>
                <w:sz w:val="24"/>
              </w:rPr>
            </w:pPr>
            <w:r>
              <w:rPr>
                <w:kern w:val="0"/>
                <w:sz w:val="24"/>
              </w:rPr>
              <w:t>式中：L</w:t>
            </w:r>
            <w:r>
              <w:rPr>
                <w:kern w:val="0"/>
                <w:sz w:val="24"/>
                <w:vertAlign w:val="subscript"/>
              </w:rPr>
              <w:t>p2i</w:t>
            </w:r>
            <w:r>
              <w:rPr>
                <w:kern w:val="0"/>
                <w:sz w:val="24"/>
              </w:rPr>
              <w:t>(T)——靠近围护结构处室外N个声源i倍频带的叠加声压级，dB；L</w:t>
            </w:r>
            <w:r>
              <w:rPr>
                <w:kern w:val="0"/>
                <w:sz w:val="24"/>
                <w:vertAlign w:val="subscript"/>
              </w:rPr>
              <w:t>p1i</w:t>
            </w:r>
            <w:r>
              <w:rPr>
                <w:kern w:val="0"/>
                <w:sz w:val="24"/>
              </w:rPr>
              <w:t>(T)——靠近围护结构处室内N个声源i倍频带的叠加声压级，dB；TL</w:t>
            </w:r>
            <w:r>
              <w:rPr>
                <w:kern w:val="0"/>
                <w:sz w:val="24"/>
                <w:vertAlign w:val="subscript"/>
              </w:rPr>
              <w:t xml:space="preserve">i </w:t>
            </w:r>
            <w:r>
              <w:rPr>
                <w:kern w:val="0"/>
                <w:sz w:val="24"/>
              </w:rPr>
              <w:t>——围护结构i倍频带的隔声量，dB。</w:t>
            </w:r>
          </w:p>
          <w:p>
            <w:pPr>
              <w:spacing w:line="360" w:lineRule="auto"/>
              <w:ind w:firstLine="480" w:firstLineChars="200"/>
              <w:rPr>
                <w:kern w:val="0"/>
                <w:sz w:val="24"/>
              </w:rPr>
            </w:pPr>
            <w:r>
              <w:rPr>
                <w:kern w:val="0"/>
                <w:sz w:val="24"/>
              </w:rPr>
              <w:t>然后按式（B.5）将室外声源的声压级和透过面积换算成等效的室外声源，计算出中心位置位于透声面积（S）处的等效声源的倍频带声功率级。</w:t>
            </w:r>
          </w:p>
          <w:p>
            <w:pPr>
              <w:spacing w:line="360" w:lineRule="auto"/>
              <w:ind w:firstLine="480" w:firstLineChars="200"/>
              <w:jc w:val="right"/>
              <w:rPr>
                <w:kern w:val="0"/>
                <w:sz w:val="24"/>
              </w:rPr>
            </w:pPr>
            <w:r>
              <w:rPr>
                <w:kern w:val="0"/>
                <w:sz w:val="24"/>
              </w:rPr>
              <w:drawing>
                <wp:inline distT="0" distB="0" distL="0" distR="0">
                  <wp:extent cx="3263900" cy="223520"/>
                  <wp:effectExtent l="0" t="0" r="0" b="5080"/>
                  <wp:docPr id="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263900" cy="223520"/>
                          </a:xfrm>
                          <a:prstGeom prst="rect">
                            <a:avLst/>
                          </a:prstGeom>
                          <a:noFill/>
                          <a:ln>
                            <a:noFill/>
                          </a:ln>
                        </pic:spPr>
                      </pic:pic>
                    </a:graphicData>
                  </a:graphic>
                </wp:inline>
              </w:drawing>
            </w:r>
          </w:p>
          <w:p>
            <w:pPr>
              <w:spacing w:line="360" w:lineRule="auto"/>
              <w:ind w:firstLine="480" w:firstLineChars="200"/>
              <w:rPr>
                <w:kern w:val="0"/>
                <w:sz w:val="24"/>
              </w:rPr>
            </w:pPr>
            <w:r>
              <w:rPr>
                <w:kern w:val="0"/>
                <w:sz w:val="24"/>
              </w:rPr>
              <w:t>式中：L</w:t>
            </w:r>
            <w:r>
              <w:rPr>
                <w:kern w:val="0"/>
                <w:sz w:val="24"/>
                <w:vertAlign w:val="subscript"/>
              </w:rPr>
              <w:t>w</w:t>
            </w:r>
            <w:r>
              <w:rPr>
                <w:kern w:val="0"/>
                <w:sz w:val="24"/>
              </w:rPr>
              <w:t>——中心位置位于透声面积（S）处的等效声源的倍频带声功率级，dB；Lp</w:t>
            </w:r>
            <w:r>
              <w:rPr>
                <w:kern w:val="0"/>
                <w:sz w:val="24"/>
                <w:vertAlign w:val="subscript"/>
              </w:rPr>
              <w:t>2</w:t>
            </w:r>
            <w:r>
              <w:rPr>
                <w:kern w:val="0"/>
                <w:sz w:val="24"/>
              </w:rPr>
              <w:t>(T)——靠近围护结构处室外声源的声压级，dB；S——透声面积，m</w:t>
            </w:r>
            <w:r>
              <w:rPr>
                <w:kern w:val="0"/>
                <w:sz w:val="24"/>
                <w:vertAlign w:val="superscript"/>
              </w:rPr>
              <w:t>2</w:t>
            </w:r>
            <w:r>
              <w:rPr>
                <w:kern w:val="0"/>
                <w:sz w:val="24"/>
              </w:rPr>
              <w:t>。然后按室外声源预测方法计算预测点处的A声级。</w:t>
            </w:r>
          </w:p>
          <w:p>
            <w:pPr>
              <w:spacing w:line="360" w:lineRule="auto"/>
              <w:ind w:firstLine="481" w:firstLineChars="200"/>
              <w:rPr>
                <w:bCs/>
                <w:snapToGrid w:val="0"/>
                <w:kern w:val="0"/>
                <w:sz w:val="24"/>
              </w:rPr>
            </w:pPr>
            <w:r>
              <w:rPr>
                <w:b/>
                <w:bCs/>
                <w:snapToGrid w:val="0"/>
                <w:kern w:val="0"/>
                <w:sz w:val="24"/>
              </w:rPr>
              <w:t>计算总声压级</w:t>
            </w:r>
          </w:p>
          <w:p>
            <w:pPr>
              <w:spacing w:line="360" w:lineRule="auto"/>
              <w:ind w:firstLine="480" w:firstLineChars="200"/>
              <w:rPr>
                <w:bCs/>
                <w:snapToGrid w:val="0"/>
                <w:kern w:val="0"/>
                <w:sz w:val="24"/>
              </w:rPr>
            </w:pPr>
            <w:r>
              <w:rPr>
                <w:kern w:val="0"/>
                <w:sz w:val="24"/>
              </w:rPr>
              <w:t>设第i个室外声源在预测点产生的A声级为L</w:t>
            </w:r>
            <w:r>
              <w:rPr>
                <w:kern w:val="0"/>
                <w:sz w:val="24"/>
                <w:vertAlign w:val="subscript"/>
              </w:rPr>
              <w:t>Ai</w:t>
            </w:r>
            <w:r>
              <w:rPr>
                <w:kern w:val="0"/>
                <w:sz w:val="24"/>
              </w:rPr>
              <w:t>，在T时间内该声源工作时间为t</w:t>
            </w:r>
            <w:r>
              <w:rPr>
                <w:kern w:val="0"/>
                <w:sz w:val="24"/>
                <w:vertAlign w:val="subscript"/>
              </w:rPr>
              <w:t>i</w:t>
            </w:r>
            <w:r>
              <w:rPr>
                <w:kern w:val="0"/>
                <w:sz w:val="24"/>
              </w:rPr>
              <w:t>；第j个等效室外声源在预测点产生的A声级为L</w:t>
            </w:r>
            <w:r>
              <w:rPr>
                <w:kern w:val="0"/>
                <w:sz w:val="24"/>
                <w:vertAlign w:val="subscript"/>
              </w:rPr>
              <w:t>Aj</w:t>
            </w:r>
            <w:r>
              <w:rPr>
                <w:kern w:val="0"/>
                <w:sz w:val="24"/>
              </w:rPr>
              <w:t>，在T时间内该声源工作时间为t</w:t>
            </w:r>
            <w:r>
              <w:rPr>
                <w:kern w:val="0"/>
                <w:sz w:val="24"/>
                <w:vertAlign w:val="subscript"/>
              </w:rPr>
              <w:t>j</w:t>
            </w:r>
            <w:r>
              <w:rPr>
                <w:kern w:val="0"/>
                <w:sz w:val="24"/>
              </w:rPr>
              <w:t>，则拟建工程声源对预测点产生的贡献值（L</w:t>
            </w:r>
            <w:r>
              <w:rPr>
                <w:kern w:val="0"/>
                <w:sz w:val="24"/>
                <w:vertAlign w:val="subscript"/>
              </w:rPr>
              <w:t>eqg</w:t>
            </w:r>
            <w:r>
              <w:rPr>
                <w:kern w:val="0"/>
                <w:sz w:val="24"/>
              </w:rPr>
              <w:t>）为：</w:t>
            </w:r>
          </w:p>
          <w:p>
            <w:pPr>
              <w:adjustRightInd w:val="0"/>
              <w:snapToGrid w:val="0"/>
              <w:ind w:firstLine="420"/>
              <w:jc w:val="right"/>
              <w:rPr>
                <w:szCs w:val="20"/>
              </w:rPr>
            </w:pPr>
            <w:r>
              <w:rPr>
                <w:szCs w:val="20"/>
              </w:rPr>
              <w:drawing>
                <wp:inline distT="0" distB="0" distL="0" distR="0">
                  <wp:extent cx="3721100" cy="446405"/>
                  <wp:effectExtent l="0" t="0" r="0" b="0"/>
                  <wp:docPr id="3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721100" cy="446405"/>
                          </a:xfrm>
                          <a:prstGeom prst="rect">
                            <a:avLst/>
                          </a:prstGeom>
                          <a:noFill/>
                          <a:ln>
                            <a:noFill/>
                          </a:ln>
                        </pic:spPr>
                      </pic:pic>
                    </a:graphicData>
                  </a:graphic>
                </wp:inline>
              </w:drawing>
            </w:r>
          </w:p>
          <w:p>
            <w:pPr>
              <w:spacing w:line="360" w:lineRule="auto"/>
              <w:ind w:firstLine="480" w:firstLineChars="200"/>
              <w:rPr>
                <w:kern w:val="0"/>
                <w:sz w:val="24"/>
              </w:rPr>
            </w:pPr>
            <w:r>
              <w:rPr>
                <w:bCs/>
                <w:kern w:val="0"/>
                <w:sz w:val="24"/>
              </w:rPr>
              <w:t>式中：</w:t>
            </w:r>
            <w:r>
              <w:rPr>
                <w:kern w:val="0"/>
                <w:sz w:val="24"/>
              </w:rPr>
              <w:t>L</w:t>
            </w:r>
            <w:r>
              <w:rPr>
                <w:kern w:val="0"/>
                <w:sz w:val="24"/>
                <w:vertAlign w:val="subscript"/>
              </w:rPr>
              <w:t>eqg</w:t>
            </w:r>
            <w:r>
              <w:rPr>
                <w:kern w:val="0"/>
                <w:sz w:val="24"/>
              </w:rPr>
              <w:t>——建设项目声源在预测点产生的噪声贡献值，dB；T ——用于计算等效声级的时间，s；N ——室外声源个数；t</w:t>
            </w:r>
            <w:r>
              <w:rPr>
                <w:kern w:val="0"/>
                <w:sz w:val="24"/>
                <w:vertAlign w:val="subscript"/>
              </w:rPr>
              <w:t>i</w:t>
            </w:r>
            <w:r>
              <w:rPr>
                <w:kern w:val="0"/>
                <w:sz w:val="24"/>
              </w:rPr>
              <w:t>——在T时间内i声源工作时间，s；M——等效室外声源个数；t</w:t>
            </w:r>
            <w:r>
              <w:rPr>
                <w:kern w:val="0"/>
                <w:sz w:val="24"/>
                <w:vertAlign w:val="subscript"/>
              </w:rPr>
              <w:t>j</w:t>
            </w:r>
            <w:r>
              <w:rPr>
                <w:kern w:val="0"/>
                <w:sz w:val="24"/>
              </w:rPr>
              <w:t>——在T时间内j声源工作时间，s。</w:t>
            </w:r>
          </w:p>
          <w:p>
            <w:pPr>
              <w:spacing w:line="360" w:lineRule="auto"/>
              <w:ind w:firstLine="480" w:firstLineChars="200"/>
              <w:rPr>
                <w:bCs/>
                <w:kern w:val="0"/>
                <w:sz w:val="24"/>
              </w:rPr>
            </w:pPr>
            <w:r>
              <w:rPr>
                <w:bCs/>
                <w:kern w:val="0"/>
                <w:sz w:val="24"/>
              </w:rPr>
              <w:t>3、预测结果</w:t>
            </w:r>
          </w:p>
          <w:p>
            <w:pPr>
              <w:spacing w:line="360" w:lineRule="auto"/>
              <w:ind w:firstLine="480" w:firstLineChars="200"/>
              <w:rPr>
                <w:bCs/>
                <w:kern w:val="0"/>
                <w:sz w:val="24"/>
              </w:rPr>
            </w:pPr>
            <w:r>
              <w:rPr>
                <w:bCs/>
                <w:kern w:val="0"/>
                <w:sz w:val="24"/>
              </w:rPr>
              <w:t>根据噪声预测模式，预测结果见下表，由于本项目噪声声源为固定点位噪声，因此本项目预测时仅考虑点声源对周边环境的影响,预测结果见下表。</w:t>
            </w:r>
          </w:p>
          <w:p>
            <w:pPr>
              <w:pStyle w:val="46"/>
              <w:rPr>
                <w:rFonts w:eastAsia="宋体" w:cs="Times New Roman"/>
              </w:rPr>
            </w:pPr>
            <w:r>
              <w:rPr>
                <w:rFonts w:eastAsia="宋体" w:cs="Times New Roman"/>
              </w:rPr>
              <w:t>表4-</w:t>
            </w:r>
            <w:r>
              <w:rPr>
                <w:rFonts w:hint="eastAsia" w:eastAsia="宋体" w:cs="Times New Roman"/>
              </w:rPr>
              <w:t>6</w:t>
            </w:r>
            <w:r>
              <w:rPr>
                <w:rFonts w:eastAsia="宋体" w:cs="Times New Roman"/>
              </w:rPr>
              <w:t xml:space="preserve"> 厂界噪声预测结果  单位：dB(A)</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67"/>
              <w:gridCol w:w="1993"/>
              <w:gridCol w:w="1900"/>
              <w:gridCol w:w="20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1243" w:type="pct"/>
                  <w:vAlign w:val="center"/>
                </w:tcPr>
                <w:p>
                  <w:pPr>
                    <w:spacing w:line="240" w:lineRule="atLeast"/>
                    <w:jc w:val="center"/>
                    <w:rPr>
                      <w:rFonts w:ascii="Times New Roman" w:hAnsi="Times New Roman"/>
                      <w:szCs w:val="21"/>
                    </w:rPr>
                  </w:pPr>
                  <w:r>
                    <w:rPr>
                      <w:rFonts w:ascii="Times New Roman" w:hAnsi="Times New Roman"/>
                      <w:szCs w:val="21"/>
                    </w:rPr>
                    <w:t>预测点</w:t>
                  </w:r>
                </w:p>
              </w:tc>
              <w:tc>
                <w:tcPr>
                  <w:tcW w:w="1260" w:type="pct"/>
                  <w:vAlign w:val="center"/>
                </w:tcPr>
                <w:p>
                  <w:pPr>
                    <w:spacing w:line="240" w:lineRule="atLeast"/>
                    <w:jc w:val="center"/>
                    <w:rPr>
                      <w:rFonts w:ascii="Times New Roman" w:hAnsi="Times New Roman"/>
                      <w:szCs w:val="21"/>
                    </w:rPr>
                  </w:pPr>
                  <w:r>
                    <w:rPr>
                      <w:rFonts w:ascii="Times New Roman" w:hAnsi="Times New Roman"/>
                      <w:szCs w:val="21"/>
                    </w:rPr>
                    <w:t>时段</w:t>
                  </w:r>
                </w:p>
              </w:tc>
              <w:tc>
                <w:tcPr>
                  <w:tcW w:w="1201" w:type="pct"/>
                  <w:vAlign w:val="center"/>
                </w:tcPr>
                <w:p>
                  <w:pPr>
                    <w:spacing w:line="240" w:lineRule="atLeast"/>
                    <w:jc w:val="center"/>
                    <w:rPr>
                      <w:rFonts w:ascii="Times New Roman" w:hAnsi="Times New Roman"/>
                      <w:szCs w:val="21"/>
                    </w:rPr>
                  </w:pPr>
                  <w:r>
                    <w:rPr>
                      <w:rFonts w:ascii="Times New Roman" w:hAnsi="Times New Roman"/>
                      <w:szCs w:val="21"/>
                    </w:rPr>
                    <w:t>贡献值</w:t>
                  </w:r>
                </w:p>
              </w:tc>
              <w:tc>
                <w:tcPr>
                  <w:tcW w:w="1296" w:type="pct"/>
                  <w:vAlign w:val="center"/>
                </w:tcPr>
                <w:p>
                  <w:pPr>
                    <w:spacing w:line="240" w:lineRule="atLeast"/>
                    <w:jc w:val="center"/>
                    <w:rPr>
                      <w:rFonts w:ascii="Times New Roman" w:hAnsi="Times New Roman"/>
                      <w:szCs w:val="21"/>
                    </w:rPr>
                  </w:pPr>
                  <w:r>
                    <w:rPr>
                      <w:rFonts w:ascii="Times New Roman" w:hAnsi="Times New Roman"/>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1243" w:type="pct"/>
                  <w:vMerge w:val="restart"/>
                  <w:vAlign w:val="center"/>
                </w:tcPr>
                <w:p>
                  <w:pPr>
                    <w:spacing w:line="240" w:lineRule="atLeast"/>
                    <w:jc w:val="center"/>
                    <w:rPr>
                      <w:rFonts w:ascii="Times New Roman" w:hAnsi="Times New Roman"/>
                      <w:szCs w:val="21"/>
                    </w:rPr>
                  </w:pPr>
                  <w:r>
                    <w:rPr>
                      <w:rFonts w:ascii="Times New Roman" w:hAnsi="Times New Roman"/>
                      <w:szCs w:val="21"/>
                    </w:rPr>
                    <w:t>东侧厂界</w:t>
                  </w:r>
                </w:p>
              </w:tc>
              <w:tc>
                <w:tcPr>
                  <w:tcW w:w="1260" w:type="pct"/>
                  <w:vAlign w:val="center"/>
                </w:tcPr>
                <w:p>
                  <w:pPr>
                    <w:spacing w:line="240" w:lineRule="atLeast"/>
                    <w:jc w:val="center"/>
                    <w:rPr>
                      <w:rFonts w:ascii="Times New Roman" w:hAnsi="Times New Roman"/>
                      <w:szCs w:val="21"/>
                    </w:rPr>
                  </w:pPr>
                  <w:r>
                    <w:rPr>
                      <w:rFonts w:ascii="Times New Roman" w:hAnsi="Times New Roman"/>
                      <w:szCs w:val="21"/>
                    </w:rPr>
                    <w:t>昼间</w:t>
                  </w:r>
                </w:p>
              </w:tc>
              <w:tc>
                <w:tcPr>
                  <w:tcW w:w="1201" w:type="pct"/>
                  <w:vMerge w:val="restart"/>
                  <w:vAlign w:val="center"/>
                </w:tcPr>
                <w:p>
                  <w:pPr>
                    <w:spacing w:line="240" w:lineRule="atLeast"/>
                    <w:jc w:val="center"/>
                    <w:rPr>
                      <w:rFonts w:ascii="Times New Roman" w:hAnsi="Times New Roman"/>
                      <w:szCs w:val="21"/>
                    </w:rPr>
                  </w:pPr>
                  <w:r>
                    <w:rPr>
                      <w:rFonts w:hint="eastAsia" w:ascii="Times New Roman" w:hAnsi="Times New Roman"/>
                      <w:szCs w:val="21"/>
                    </w:rPr>
                    <w:t>27.31</w:t>
                  </w:r>
                </w:p>
              </w:tc>
              <w:tc>
                <w:tcPr>
                  <w:tcW w:w="1296" w:type="pct"/>
                  <w:vAlign w:val="center"/>
                </w:tcPr>
                <w:p>
                  <w:pPr>
                    <w:spacing w:line="240" w:lineRule="atLeast"/>
                    <w:jc w:val="center"/>
                    <w:rPr>
                      <w:rFonts w:ascii="Times New Roman" w:hAnsi="Times New Roman"/>
                      <w:szCs w:val="21"/>
                    </w:rPr>
                  </w:pPr>
                  <w:r>
                    <w:rPr>
                      <w:rFonts w:ascii="Times New Roman" w:hAnsi="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1243" w:type="pct"/>
                  <w:vMerge w:val="continue"/>
                  <w:vAlign w:val="center"/>
                </w:tcPr>
                <w:p>
                  <w:pPr>
                    <w:spacing w:line="240" w:lineRule="atLeast"/>
                    <w:jc w:val="center"/>
                    <w:rPr>
                      <w:rFonts w:ascii="Times New Roman" w:hAnsi="Times New Roman"/>
                      <w:szCs w:val="21"/>
                    </w:rPr>
                  </w:pPr>
                </w:p>
              </w:tc>
              <w:tc>
                <w:tcPr>
                  <w:tcW w:w="1260" w:type="pct"/>
                  <w:vAlign w:val="center"/>
                </w:tcPr>
                <w:p>
                  <w:pPr>
                    <w:spacing w:line="240" w:lineRule="atLeast"/>
                    <w:jc w:val="center"/>
                    <w:rPr>
                      <w:rFonts w:ascii="Times New Roman" w:hAnsi="Times New Roman"/>
                      <w:szCs w:val="21"/>
                    </w:rPr>
                  </w:pPr>
                  <w:r>
                    <w:rPr>
                      <w:rFonts w:ascii="Times New Roman" w:hAnsi="Times New Roman"/>
                      <w:szCs w:val="21"/>
                    </w:rPr>
                    <w:t>夜间</w:t>
                  </w:r>
                </w:p>
              </w:tc>
              <w:tc>
                <w:tcPr>
                  <w:tcW w:w="1201" w:type="pct"/>
                  <w:vMerge w:val="continue"/>
                  <w:vAlign w:val="center"/>
                </w:tcPr>
                <w:p>
                  <w:pPr>
                    <w:spacing w:line="240" w:lineRule="atLeast"/>
                    <w:jc w:val="center"/>
                    <w:rPr>
                      <w:rFonts w:ascii="Times New Roman" w:hAnsi="Times New Roman"/>
                      <w:szCs w:val="21"/>
                    </w:rPr>
                  </w:pPr>
                </w:p>
              </w:tc>
              <w:tc>
                <w:tcPr>
                  <w:tcW w:w="1296" w:type="pct"/>
                  <w:vAlign w:val="center"/>
                </w:tcPr>
                <w:p>
                  <w:pPr>
                    <w:spacing w:line="240" w:lineRule="atLeast"/>
                    <w:jc w:val="center"/>
                    <w:rPr>
                      <w:rFonts w:ascii="Times New Roman" w:hAnsi="Times New Roman"/>
                      <w:szCs w:val="21"/>
                    </w:rPr>
                  </w:pPr>
                  <w:r>
                    <w:rPr>
                      <w:rFonts w:ascii="Times New Roman" w:hAnsi="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1243" w:type="pct"/>
                  <w:vMerge w:val="restart"/>
                  <w:vAlign w:val="center"/>
                </w:tcPr>
                <w:p>
                  <w:pPr>
                    <w:spacing w:line="240" w:lineRule="atLeast"/>
                    <w:jc w:val="center"/>
                    <w:rPr>
                      <w:rFonts w:ascii="Times New Roman" w:hAnsi="Times New Roman"/>
                      <w:szCs w:val="21"/>
                    </w:rPr>
                  </w:pPr>
                  <w:r>
                    <w:rPr>
                      <w:rFonts w:ascii="Times New Roman" w:hAnsi="Times New Roman"/>
                      <w:szCs w:val="21"/>
                    </w:rPr>
                    <w:t>南侧厂界</w:t>
                  </w:r>
                </w:p>
              </w:tc>
              <w:tc>
                <w:tcPr>
                  <w:tcW w:w="1260" w:type="pct"/>
                  <w:vAlign w:val="center"/>
                </w:tcPr>
                <w:p>
                  <w:pPr>
                    <w:spacing w:line="240" w:lineRule="atLeast"/>
                    <w:jc w:val="center"/>
                    <w:rPr>
                      <w:rFonts w:ascii="Times New Roman" w:hAnsi="Times New Roman"/>
                      <w:szCs w:val="21"/>
                    </w:rPr>
                  </w:pPr>
                  <w:r>
                    <w:rPr>
                      <w:rFonts w:ascii="Times New Roman" w:hAnsi="Times New Roman"/>
                      <w:szCs w:val="21"/>
                    </w:rPr>
                    <w:t>昼间</w:t>
                  </w:r>
                </w:p>
              </w:tc>
              <w:tc>
                <w:tcPr>
                  <w:tcW w:w="1201" w:type="pct"/>
                  <w:vMerge w:val="restart"/>
                  <w:vAlign w:val="center"/>
                </w:tcPr>
                <w:p>
                  <w:pPr>
                    <w:spacing w:line="240" w:lineRule="atLeast"/>
                    <w:jc w:val="center"/>
                    <w:rPr>
                      <w:rFonts w:ascii="Times New Roman" w:hAnsi="Times New Roman"/>
                      <w:szCs w:val="21"/>
                    </w:rPr>
                  </w:pPr>
                  <w:r>
                    <w:rPr>
                      <w:rFonts w:hint="eastAsia" w:ascii="Times New Roman" w:hAnsi="Times New Roman"/>
                      <w:szCs w:val="21"/>
                    </w:rPr>
                    <w:t>26.22</w:t>
                  </w:r>
                </w:p>
              </w:tc>
              <w:tc>
                <w:tcPr>
                  <w:tcW w:w="1296" w:type="pct"/>
                  <w:vAlign w:val="center"/>
                </w:tcPr>
                <w:p>
                  <w:pPr>
                    <w:spacing w:line="240" w:lineRule="atLeast"/>
                    <w:jc w:val="center"/>
                    <w:rPr>
                      <w:rFonts w:ascii="Times New Roman" w:hAnsi="Times New Roman"/>
                      <w:szCs w:val="21"/>
                    </w:rPr>
                  </w:pPr>
                  <w:r>
                    <w:rPr>
                      <w:rFonts w:ascii="Times New Roman" w:hAnsi="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1243" w:type="pct"/>
                  <w:vMerge w:val="continue"/>
                  <w:vAlign w:val="center"/>
                </w:tcPr>
                <w:p>
                  <w:pPr>
                    <w:spacing w:line="240" w:lineRule="atLeast"/>
                    <w:jc w:val="center"/>
                    <w:rPr>
                      <w:rFonts w:ascii="Times New Roman" w:hAnsi="Times New Roman"/>
                      <w:szCs w:val="21"/>
                    </w:rPr>
                  </w:pPr>
                </w:p>
              </w:tc>
              <w:tc>
                <w:tcPr>
                  <w:tcW w:w="1260" w:type="pct"/>
                  <w:vAlign w:val="center"/>
                </w:tcPr>
                <w:p>
                  <w:pPr>
                    <w:spacing w:line="240" w:lineRule="atLeast"/>
                    <w:jc w:val="center"/>
                    <w:rPr>
                      <w:rFonts w:ascii="Times New Roman" w:hAnsi="Times New Roman"/>
                      <w:szCs w:val="21"/>
                    </w:rPr>
                  </w:pPr>
                  <w:r>
                    <w:rPr>
                      <w:rFonts w:ascii="Times New Roman" w:hAnsi="Times New Roman"/>
                      <w:szCs w:val="21"/>
                    </w:rPr>
                    <w:t>夜间</w:t>
                  </w:r>
                </w:p>
              </w:tc>
              <w:tc>
                <w:tcPr>
                  <w:tcW w:w="1201" w:type="pct"/>
                  <w:vMerge w:val="continue"/>
                  <w:vAlign w:val="center"/>
                </w:tcPr>
                <w:p>
                  <w:pPr>
                    <w:spacing w:line="240" w:lineRule="atLeast"/>
                    <w:jc w:val="center"/>
                    <w:rPr>
                      <w:rFonts w:ascii="Times New Roman" w:hAnsi="Times New Roman"/>
                      <w:szCs w:val="21"/>
                    </w:rPr>
                  </w:pPr>
                </w:p>
              </w:tc>
              <w:tc>
                <w:tcPr>
                  <w:tcW w:w="1296" w:type="pct"/>
                  <w:vAlign w:val="center"/>
                </w:tcPr>
                <w:p>
                  <w:pPr>
                    <w:spacing w:line="240" w:lineRule="atLeast"/>
                    <w:jc w:val="center"/>
                    <w:rPr>
                      <w:rFonts w:ascii="Times New Roman" w:hAnsi="Times New Roman"/>
                      <w:szCs w:val="21"/>
                    </w:rPr>
                  </w:pPr>
                  <w:r>
                    <w:rPr>
                      <w:rFonts w:ascii="Times New Roman" w:hAnsi="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1243" w:type="pct"/>
                  <w:vMerge w:val="restart"/>
                  <w:vAlign w:val="center"/>
                </w:tcPr>
                <w:p>
                  <w:pPr>
                    <w:spacing w:line="240" w:lineRule="atLeast"/>
                    <w:jc w:val="center"/>
                    <w:rPr>
                      <w:rFonts w:ascii="Times New Roman" w:hAnsi="Times New Roman"/>
                      <w:szCs w:val="21"/>
                    </w:rPr>
                  </w:pPr>
                  <w:r>
                    <w:rPr>
                      <w:rFonts w:ascii="Times New Roman" w:hAnsi="Times New Roman"/>
                      <w:szCs w:val="21"/>
                    </w:rPr>
                    <w:t>西侧厂界</w:t>
                  </w:r>
                </w:p>
              </w:tc>
              <w:tc>
                <w:tcPr>
                  <w:tcW w:w="1260" w:type="pct"/>
                  <w:vAlign w:val="center"/>
                </w:tcPr>
                <w:p>
                  <w:pPr>
                    <w:spacing w:line="240" w:lineRule="atLeast"/>
                    <w:jc w:val="center"/>
                    <w:rPr>
                      <w:rFonts w:ascii="Times New Roman" w:hAnsi="Times New Roman"/>
                      <w:szCs w:val="21"/>
                    </w:rPr>
                  </w:pPr>
                  <w:r>
                    <w:rPr>
                      <w:rFonts w:ascii="Times New Roman" w:hAnsi="Times New Roman"/>
                      <w:szCs w:val="21"/>
                    </w:rPr>
                    <w:t>昼间</w:t>
                  </w:r>
                </w:p>
              </w:tc>
              <w:tc>
                <w:tcPr>
                  <w:tcW w:w="1201" w:type="pct"/>
                  <w:vMerge w:val="restart"/>
                  <w:vAlign w:val="center"/>
                </w:tcPr>
                <w:p>
                  <w:pPr>
                    <w:spacing w:line="240" w:lineRule="atLeast"/>
                    <w:jc w:val="center"/>
                    <w:rPr>
                      <w:rFonts w:ascii="Times New Roman" w:hAnsi="Times New Roman"/>
                      <w:szCs w:val="21"/>
                    </w:rPr>
                  </w:pPr>
                  <w:r>
                    <w:rPr>
                      <w:rFonts w:hint="eastAsia" w:ascii="Times New Roman" w:hAnsi="Times New Roman"/>
                      <w:szCs w:val="21"/>
                    </w:rPr>
                    <w:t>29.85</w:t>
                  </w:r>
                </w:p>
              </w:tc>
              <w:tc>
                <w:tcPr>
                  <w:tcW w:w="1296" w:type="pct"/>
                  <w:vAlign w:val="center"/>
                </w:tcPr>
                <w:p>
                  <w:pPr>
                    <w:spacing w:line="240" w:lineRule="atLeast"/>
                    <w:jc w:val="center"/>
                    <w:rPr>
                      <w:rFonts w:ascii="Times New Roman" w:hAnsi="Times New Roman"/>
                      <w:szCs w:val="21"/>
                    </w:rPr>
                  </w:pPr>
                  <w:r>
                    <w:rPr>
                      <w:rFonts w:ascii="Times New Roman" w:hAnsi="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1243" w:type="pct"/>
                  <w:vMerge w:val="continue"/>
                  <w:vAlign w:val="center"/>
                </w:tcPr>
                <w:p>
                  <w:pPr>
                    <w:spacing w:line="240" w:lineRule="atLeast"/>
                    <w:jc w:val="center"/>
                    <w:rPr>
                      <w:rFonts w:ascii="Times New Roman" w:hAnsi="Times New Roman"/>
                      <w:szCs w:val="21"/>
                    </w:rPr>
                  </w:pPr>
                </w:p>
              </w:tc>
              <w:tc>
                <w:tcPr>
                  <w:tcW w:w="1260" w:type="pct"/>
                  <w:vAlign w:val="center"/>
                </w:tcPr>
                <w:p>
                  <w:pPr>
                    <w:spacing w:line="240" w:lineRule="atLeast"/>
                    <w:jc w:val="center"/>
                    <w:rPr>
                      <w:rFonts w:ascii="Times New Roman" w:hAnsi="Times New Roman"/>
                      <w:szCs w:val="21"/>
                    </w:rPr>
                  </w:pPr>
                  <w:r>
                    <w:rPr>
                      <w:rFonts w:ascii="Times New Roman" w:hAnsi="Times New Roman"/>
                      <w:szCs w:val="21"/>
                    </w:rPr>
                    <w:t>夜间</w:t>
                  </w:r>
                </w:p>
              </w:tc>
              <w:tc>
                <w:tcPr>
                  <w:tcW w:w="1201" w:type="pct"/>
                  <w:vMerge w:val="continue"/>
                  <w:vAlign w:val="center"/>
                </w:tcPr>
                <w:p>
                  <w:pPr>
                    <w:spacing w:line="240" w:lineRule="atLeast"/>
                    <w:jc w:val="center"/>
                    <w:rPr>
                      <w:rFonts w:ascii="Times New Roman" w:hAnsi="Times New Roman"/>
                      <w:szCs w:val="21"/>
                    </w:rPr>
                  </w:pPr>
                </w:p>
              </w:tc>
              <w:tc>
                <w:tcPr>
                  <w:tcW w:w="1296" w:type="pct"/>
                  <w:vAlign w:val="center"/>
                </w:tcPr>
                <w:p>
                  <w:pPr>
                    <w:spacing w:line="240" w:lineRule="atLeast"/>
                    <w:jc w:val="center"/>
                    <w:rPr>
                      <w:rFonts w:ascii="Times New Roman" w:hAnsi="Times New Roman"/>
                      <w:szCs w:val="21"/>
                    </w:rPr>
                  </w:pPr>
                  <w:r>
                    <w:rPr>
                      <w:rFonts w:ascii="Times New Roman" w:hAnsi="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1243" w:type="pct"/>
                  <w:vMerge w:val="restart"/>
                  <w:vAlign w:val="center"/>
                </w:tcPr>
                <w:p>
                  <w:pPr>
                    <w:spacing w:line="240" w:lineRule="atLeast"/>
                    <w:jc w:val="center"/>
                    <w:rPr>
                      <w:rFonts w:ascii="Times New Roman" w:hAnsi="Times New Roman"/>
                      <w:szCs w:val="21"/>
                    </w:rPr>
                  </w:pPr>
                  <w:r>
                    <w:rPr>
                      <w:rFonts w:ascii="Times New Roman" w:hAnsi="Times New Roman"/>
                      <w:szCs w:val="21"/>
                    </w:rPr>
                    <w:t>北侧厂界</w:t>
                  </w:r>
                </w:p>
              </w:tc>
              <w:tc>
                <w:tcPr>
                  <w:tcW w:w="1260" w:type="pct"/>
                  <w:vAlign w:val="center"/>
                </w:tcPr>
                <w:p>
                  <w:pPr>
                    <w:spacing w:line="240" w:lineRule="atLeast"/>
                    <w:jc w:val="center"/>
                    <w:rPr>
                      <w:rFonts w:ascii="Times New Roman" w:hAnsi="Times New Roman"/>
                      <w:szCs w:val="21"/>
                    </w:rPr>
                  </w:pPr>
                  <w:r>
                    <w:rPr>
                      <w:rFonts w:ascii="Times New Roman" w:hAnsi="Times New Roman"/>
                      <w:szCs w:val="21"/>
                    </w:rPr>
                    <w:t>昼间</w:t>
                  </w:r>
                </w:p>
              </w:tc>
              <w:tc>
                <w:tcPr>
                  <w:tcW w:w="1201" w:type="pct"/>
                  <w:vMerge w:val="restart"/>
                  <w:vAlign w:val="center"/>
                </w:tcPr>
                <w:p>
                  <w:pPr>
                    <w:spacing w:line="240" w:lineRule="atLeast"/>
                    <w:jc w:val="center"/>
                    <w:rPr>
                      <w:rFonts w:ascii="Times New Roman" w:hAnsi="Times New Roman"/>
                      <w:szCs w:val="21"/>
                    </w:rPr>
                  </w:pPr>
                  <w:r>
                    <w:rPr>
                      <w:rFonts w:ascii="Times New Roman" w:hAnsi="Times New Roman"/>
                      <w:szCs w:val="21"/>
                    </w:rPr>
                    <w:t>3</w:t>
                  </w:r>
                  <w:r>
                    <w:rPr>
                      <w:rFonts w:hint="eastAsia" w:ascii="Times New Roman" w:hAnsi="Times New Roman"/>
                      <w:szCs w:val="21"/>
                    </w:rPr>
                    <w:t>1.61</w:t>
                  </w:r>
                </w:p>
              </w:tc>
              <w:tc>
                <w:tcPr>
                  <w:tcW w:w="1296" w:type="pct"/>
                  <w:vAlign w:val="center"/>
                </w:tcPr>
                <w:p>
                  <w:pPr>
                    <w:spacing w:line="240" w:lineRule="atLeast"/>
                    <w:jc w:val="center"/>
                    <w:rPr>
                      <w:rFonts w:ascii="Times New Roman" w:hAnsi="Times New Roman"/>
                      <w:szCs w:val="21"/>
                    </w:rPr>
                  </w:pPr>
                  <w:r>
                    <w:rPr>
                      <w:rFonts w:ascii="Times New Roman" w:hAnsi="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1243" w:type="pct"/>
                  <w:vMerge w:val="continue"/>
                  <w:vAlign w:val="center"/>
                </w:tcPr>
                <w:p>
                  <w:pPr>
                    <w:spacing w:line="240" w:lineRule="atLeast"/>
                    <w:jc w:val="center"/>
                    <w:rPr>
                      <w:rFonts w:ascii="Times New Roman" w:hAnsi="Times New Roman"/>
                      <w:szCs w:val="21"/>
                    </w:rPr>
                  </w:pPr>
                </w:p>
              </w:tc>
              <w:tc>
                <w:tcPr>
                  <w:tcW w:w="1260" w:type="pct"/>
                  <w:vAlign w:val="center"/>
                </w:tcPr>
                <w:p>
                  <w:pPr>
                    <w:spacing w:line="240" w:lineRule="atLeast"/>
                    <w:jc w:val="center"/>
                    <w:rPr>
                      <w:rFonts w:ascii="Times New Roman" w:hAnsi="Times New Roman"/>
                      <w:szCs w:val="21"/>
                    </w:rPr>
                  </w:pPr>
                  <w:r>
                    <w:rPr>
                      <w:rFonts w:ascii="Times New Roman" w:hAnsi="Times New Roman"/>
                      <w:szCs w:val="21"/>
                    </w:rPr>
                    <w:t>夜间</w:t>
                  </w:r>
                </w:p>
              </w:tc>
              <w:tc>
                <w:tcPr>
                  <w:tcW w:w="1201" w:type="pct"/>
                  <w:vMerge w:val="continue"/>
                  <w:vAlign w:val="center"/>
                </w:tcPr>
                <w:p>
                  <w:pPr>
                    <w:spacing w:line="240" w:lineRule="atLeast"/>
                    <w:jc w:val="center"/>
                    <w:rPr>
                      <w:rFonts w:ascii="Times New Roman" w:hAnsi="Times New Roman"/>
                      <w:szCs w:val="21"/>
                    </w:rPr>
                  </w:pPr>
                </w:p>
              </w:tc>
              <w:tc>
                <w:tcPr>
                  <w:tcW w:w="1296" w:type="pct"/>
                  <w:vAlign w:val="center"/>
                </w:tcPr>
                <w:p>
                  <w:pPr>
                    <w:spacing w:line="240" w:lineRule="atLeast"/>
                    <w:jc w:val="center"/>
                    <w:rPr>
                      <w:rFonts w:ascii="Times New Roman" w:hAnsi="Times New Roman"/>
                      <w:szCs w:val="21"/>
                    </w:rPr>
                  </w:pPr>
                  <w:r>
                    <w:rPr>
                      <w:rFonts w:ascii="Times New Roman" w:hAnsi="Times New Roman"/>
                      <w:szCs w:val="21"/>
                    </w:rPr>
                    <w:t>达标</w:t>
                  </w:r>
                </w:p>
              </w:tc>
            </w:tr>
          </w:tbl>
          <w:p>
            <w:pPr>
              <w:pStyle w:val="79"/>
              <w:ind w:firstLine="480"/>
              <w:rPr>
                <w:rFonts w:cs="Times New Roman"/>
                <w:color w:val="auto"/>
                <w:sz w:val="24"/>
              </w:rPr>
            </w:pPr>
            <w:r>
              <w:rPr>
                <w:rFonts w:hint="eastAsia" w:cs="Times New Roman"/>
                <w:color w:val="auto"/>
                <w:sz w:val="24"/>
              </w:rPr>
              <w:t>4</w:t>
            </w:r>
            <w:r>
              <w:rPr>
                <w:rFonts w:cs="Times New Roman"/>
                <w:color w:val="auto"/>
                <w:sz w:val="24"/>
              </w:rPr>
              <w:t>、降噪措施</w:t>
            </w:r>
          </w:p>
          <w:p>
            <w:pPr>
              <w:pStyle w:val="79"/>
              <w:ind w:firstLine="480"/>
              <w:rPr>
                <w:rFonts w:cs="Times New Roman"/>
                <w:color w:val="auto"/>
                <w:sz w:val="24"/>
              </w:rPr>
            </w:pPr>
            <w:r>
              <w:rPr>
                <w:rFonts w:cs="Times New Roman"/>
                <w:color w:val="auto"/>
                <w:sz w:val="24"/>
              </w:rPr>
              <w:t>项目运营期采取如下降噪措施：</w:t>
            </w:r>
          </w:p>
          <w:p>
            <w:pPr>
              <w:pStyle w:val="79"/>
              <w:ind w:firstLine="480"/>
              <w:rPr>
                <w:rFonts w:cs="Times New Roman"/>
                <w:color w:val="auto"/>
                <w:sz w:val="24"/>
              </w:rPr>
            </w:pPr>
            <w:r>
              <w:rPr>
                <w:rFonts w:cs="Times New Roman"/>
                <w:color w:val="auto"/>
                <w:sz w:val="24"/>
              </w:rPr>
              <w:t>（1）</w:t>
            </w:r>
            <w:r>
              <w:rPr>
                <w:rFonts w:hint="eastAsia" w:cs="Times New Roman"/>
                <w:color w:val="auto"/>
                <w:sz w:val="24"/>
              </w:rPr>
              <w:t>合理布局，将高噪声源尽量布置远离厂区边界。</w:t>
            </w:r>
            <w:r>
              <w:rPr>
                <w:rFonts w:cs="Times New Roman"/>
                <w:color w:val="auto"/>
                <w:sz w:val="24"/>
              </w:rPr>
              <w:t>选用低噪声设备，设备均安置于设备间内，</w:t>
            </w:r>
            <w:r>
              <w:rPr>
                <w:rFonts w:hint="eastAsia" w:cs="Times New Roman"/>
                <w:color w:val="auto"/>
                <w:sz w:val="24"/>
              </w:rPr>
              <w:t>定期进行维修，防止机械摩擦造成噪声污染。</w:t>
            </w:r>
          </w:p>
          <w:p>
            <w:pPr>
              <w:pStyle w:val="79"/>
              <w:ind w:firstLine="480"/>
              <w:rPr>
                <w:rFonts w:cs="Times New Roman"/>
                <w:color w:val="auto"/>
                <w:sz w:val="24"/>
              </w:rPr>
            </w:pPr>
            <w:r>
              <w:rPr>
                <w:rFonts w:cs="Times New Roman"/>
                <w:color w:val="auto"/>
                <w:sz w:val="24"/>
              </w:rPr>
              <w:t>（2）</w:t>
            </w:r>
            <w:r>
              <w:rPr>
                <w:rFonts w:hint="eastAsia" w:cs="Times New Roman"/>
                <w:color w:val="auto"/>
                <w:sz w:val="24"/>
              </w:rPr>
              <w:t>加强对各类噪声源的控制和管理，对于高噪设备进行隔声、减振、消声等降噪措施处理，减少噪声污染。选用低噪声设备、高噪声设备基础减振、车间门窗封闭、墙面进行吸声处理等措施</w:t>
            </w:r>
            <w:r>
              <w:rPr>
                <w:rFonts w:cs="Times New Roman"/>
                <w:color w:val="auto"/>
                <w:sz w:val="24"/>
              </w:rPr>
              <w:t>。</w:t>
            </w:r>
          </w:p>
          <w:p>
            <w:pPr>
              <w:pStyle w:val="79"/>
              <w:ind w:firstLine="480"/>
              <w:rPr>
                <w:rFonts w:cs="Times New Roman"/>
                <w:color w:val="auto"/>
                <w:sz w:val="24"/>
              </w:rPr>
            </w:pPr>
            <w:r>
              <w:rPr>
                <w:rFonts w:hint="eastAsia" w:cs="Times New Roman"/>
                <w:color w:val="auto"/>
                <w:sz w:val="24"/>
              </w:rPr>
              <w:t>5、降噪措施可行性</w:t>
            </w:r>
          </w:p>
          <w:p>
            <w:pPr>
              <w:pStyle w:val="79"/>
              <w:ind w:firstLine="480"/>
              <w:rPr>
                <w:rFonts w:cs="Times New Roman"/>
                <w:color w:val="auto"/>
                <w:sz w:val="24"/>
              </w:rPr>
            </w:pPr>
            <w:r>
              <w:rPr>
                <w:rFonts w:hint="eastAsia" w:cs="Times New Roman"/>
                <w:color w:val="auto"/>
                <w:sz w:val="24"/>
              </w:rPr>
              <w:t>减振隔声技术：声音传播是能量通过振动波方式辐射传播的，在传播途径上安装弹性材料或阻尼材料，隔绝或衰减振动的传播，就可以实现减振降噪的目的。可用的减振措施主要有隔震减震和阻尼减震，在设备安装时采用橡胶减振垫或弹簧减震，可以有效减少声能的传播，从而起到降噪的效果。</w:t>
            </w:r>
          </w:p>
          <w:p>
            <w:pPr>
              <w:pStyle w:val="79"/>
              <w:ind w:firstLine="480"/>
              <w:rPr>
                <w:rFonts w:cs="Times New Roman"/>
                <w:color w:val="auto"/>
                <w:sz w:val="24"/>
              </w:rPr>
            </w:pPr>
            <w:r>
              <w:rPr>
                <w:rFonts w:hint="eastAsia" w:cs="Times New Roman"/>
                <w:color w:val="auto"/>
                <w:sz w:val="24"/>
              </w:rPr>
              <w:t>隔声降噪技术：声波在通过空气的传播途径中，碰到一匀质屏蔽物时，由于两分界面特性阻抗的改变，使部分声能被屏蔽物发射回去，从而降低噪声的传播。隔声是用构件将噪声源接收者分开，使声能在传播途径中受到阻挡，从而降低或消除噪声的措施，称为隔声。这些隔声措施包括：隔声墙、隔声窗、隔声罩、隔声屏障等，不同的隔声措施可以降噪20~50dB（A）。本项目针对不同的设备采用不同的隔声措施，主要有隔声间、隔声窗、隔声罩等，降噪效果在20dB（A）以上。</w:t>
            </w:r>
          </w:p>
          <w:p>
            <w:pPr>
              <w:pStyle w:val="79"/>
              <w:ind w:firstLine="480"/>
              <w:rPr>
                <w:rFonts w:cs="Times New Roman"/>
                <w:color w:val="auto"/>
                <w:sz w:val="24"/>
              </w:rPr>
            </w:pPr>
            <w:r>
              <w:rPr>
                <w:rFonts w:hint="eastAsia" w:cs="Times New Roman"/>
                <w:color w:val="auto"/>
                <w:sz w:val="24"/>
              </w:rPr>
              <w:t>消声降噪技术：在声波入射到多孔材料时，即可激起小孔或纤维的空气运动，紧靠孔壁或纤维表面的空气，因孔壁的影响，产生粘滞作用，使声波与多孔材料产生摩擦使声能转化热能，从而得到衰减。</w:t>
            </w:r>
          </w:p>
          <w:p>
            <w:pPr>
              <w:pStyle w:val="79"/>
              <w:ind w:firstLine="480"/>
              <w:rPr>
                <w:rFonts w:cs="Times New Roman"/>
                <w:color w:val="auto"/>
                <w:sz w:val="24"/>
              </w:rPr>
            </w:pPr>
            <w:r>
              <w:rPr>
                <w:rFonts w:hint="eastAsia" w:cs="Times New Roman"/>
                <w:color w:val="auto"/>
                <w:sz w:val="24"/>
              </w:rPr>
              <w:t>本工程选用低噪声设备，经减振、消声、隔声处理等降噪措施后，厂界噪声值满足《工业企业厂界环境噪声排放标准》（GB12348-2008）表1中2类标准要求。综上，本项目建设对周围声环境影响较小。</w:t>
            </w:r>
          </w:p>
          <w:p>
            <w:pPr>
              <w:pStyle w:val="93"/>
              <w:spacing w:line="360" w:lineRule="auto"/>
              <w:ind w:firstLine="480"/>
              <w:rPr>
                <w:rFonts w:eastAsia="宋体"/>
                <w:color w:val="auto"/>
              </w:rPr>
            </w:pPr>
            <w:r>
              <w:rPr>
                <w:rFonts w:hint="eastAsia" w:eastAsia="宋体"/>
                <w:color w:val="auto"/>
              </w:rPr>
              <w:t>6</w:t>
            </w:r>
            <w:r>
              <w:rPr>
                <w:rFonts w:eastAsia="宋体"/>
                <w:color w:val="auto"/>
              </w:rPr>
              <w:t>、监测计划</w:t>
            </w:r>
          </w:p>
          <w:p>
            <w:pPr>
              <w:pStyle w:val="93"/>
              <w:spacing w:line="360" w:lineRule="auto"/>
              <w:ind w:firstLine="480"/>
              <w:rPr>
                <w:rFonts w:eastAsia="宋体"/>
                <w:color w:val="auto"/>
              </w:rPr>
            </w:pPr>
            <w:r>
              <w:rPr>
                <w:rFonts w:eastAsia="宋体"/>
                <w:color w:val="auto"/>
              </w:rPr>
              <w:t>依据《排污单位自行监测技术指南 总则》（HJ819-2017）</w:t>
            </w:r>
            <w:r>
              <w:rPr>
                <w:rFonts w:hint="eastAsia" w:eastAsia="宋体"/>
                <w:color w:val="auto"/>
              </w:rPr>
              <w:t>、《排污许可证申请与核发技术规范 工业噪声》（HJ1301-2023）中</w:t>
            </w:r>
            <w:r>
              <w:rPr>
                <w:rFonts w:eastAsia="宋体"/>
                <w:color w:val="auto"/>
              </w:rPr>
              <w:t>要求，本项目噪声污染源监测计划见下表。</w:t>
            </w:r>
          </w:p>
          <w:p>
            <w:pPr>
              <w:pStyle w:val="46"/>
              <w:rPr>
                <w:rFonts w:eastAsia="宋体" w:cs="Times New Roman"/>
                <w:bCs/>
                <w:szCs w:val="24"/>
              </w:rPr>
            </w:pPr>
            <w:r>
              <w:rPr>
                <w:rFonts w:eastAsia="宋体" w:cs="Times New Roman"/>
                <w:bCs/>
                <w:szCs w:val="24"/>
              </w:rPr>
              <w:t>表4-</w:t>
            </w:r>
            <w:r>
              <w:rPr>
                <w:rFonts w:hint="eastAsia" w:eastAsia="宋体" w:cs="Times New Roman"/>
                <w:bCs/>
                <w:szCs w:val="24"/>
              </w:rPr>
              <w:t>7</w:t>
            </w:r>
            <w:r>
              <w:rPr>
                <w:rFonts w:eastAsia="宋体" w:cs="Times New Roman"/>
                <w:bCs/>
                <w:szCs w:val="24"/>
              </w:rPr>
              <w:t xml:space="preserve"> 噪声污染源监测计划一览表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60"/>
              <w:gridCol w:w="2052"/>
              <w:gridCol w:w="1318"/>
              <w:gridCol w:w="1615"/>
              <w:gridCol w:w="206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44" w:type="pct"/>
                  <w:vAlign w:val="center"/>
                </w:tcPr>
                <w:p>
                  <w:pPr>
                    <w:pStyle w:val="96"/>
                    <w:rPr>
                      <w:rFonts w:eastAsia="宋体"/>
                      <w:color w:val="auto"/>
                    </w:rPr>
                  </w:pPr>
                  <w:r>
                    <w:rPr>
                      <w:rFonts w:eastAsia="宋体"/>
                      <w:color w:val="auto"/>
                    </w:rPr>
                    <w:t>类别</w:t>
                  </w:r>
                </w:p>
              </w:tc>
              <w:tc>
                <w:tcPr>
                  <w:tcW w:w="1297" w:type="pct"/>
                  <w:vAlign w:val="center"/>
                </w:tcPr>
                <w:p>
                  <w:pPr>
                    <w:pStyle w:val="96"/>
                    <w:rPr>
                      <w:rFonts w:eastAsia="宋体"/>
                      <w:color w:val="auto"/>
                    </w:rPr>
                  </w:pPr>
                  <w:r>
                    <w:rPr>
                      <w:rFonts w:eastAsia="宋体"/>
                      <w:color w:val="auto"/>
                    </w:rPr>
                    <w:t>监测项目</w:t>
                  </w:r>
                </w:p>
              </w:tc>
              <w:tc>
                <w:tcPr>
                  <w:tcW w:w="833" w:type="pct"/>
                  <w:vAlign w:val="center"/>
                </w:tcPr>
                <w:p>
                  <w:pPr>
                    <w:pStyle w:val="96"/>
                    <w:rPr>
                      <w:rFonts w:eastAsia="宋体"/>
                      <w:color w:val="auto"/>
                    </w:rPr>
                  </w:pPr>
                  <w:r>
                    <w:rPr>
                      <w:rFonts w:eastAsia="宋体"/>
                      <w:color w:val="auto"/>
                    </w:rPr>
                    <w:t>监测位置</w:t>
                  </w:r>
                </w:p>
              </w:tc>
              <w:tc>
                <w:tcPr>
                  <w:tcW w:w="1021" w:type="pct"/>
                  <w:vAlign w:val="center"/>
                </w:tcPr>
                <w:p>
                  <w:pPr>
                    <w:pStyle w:val="96"/>
                    <w:rPr>
                      <w:rFonts w:eastAsia="宋体"/>
                      <w:color w:val="auto"/>
                    </w:rPr>
                  </w:pPr>
                  <w:r>
                    <w:rPr>
                      <w:rFonts w:eastAsia="宋体"/>
                      <w:color w:val="auto"/>
                    </w:rPr>
                    <w:t>监测频率</w:t>
                  </w:r>
                </w:p>
              </w:tc>
              <w:tc>
                <w:tcPr>
                  <w:tcW w:w="1305" w:type="pct"/>
                </w:tcPr>
                <w:p>
                  <w:pPr>
                    <w:pStyle w:val="96"/>
                    <w:rPr>
                      <w:rFonts w:eastAsia="宋体"/>
                      <w:color w:val="auto"/>
                    </w:rPr>
                  </w:pPr>
                  <w:r>
                    <w:rPr>
                      <w:rFonts w:hint="eastAsia" w:eastAsia="宋体"/>
                      <w:color w:val="auto"/>
                    </w:rPr>
                    <w:t>执行标准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44" w:type="pct"/>
                  <w:vAlign w:val="center"/>
                </w:tcPr>
                <w:p>
                  <w:pPr>
                    <w:pStyle w:val="96"/>
                    <w:rPr>
                      <w:rFonts w:eastAsia="宋体"/>
                      <w:color w:val="auto"/>
                    </w:rPr>
                  </w:pPr>
                  <w:r>
                    <w:rPr>
                      <w:rFonts w:eastAsia="宋体"/>
                      <w:color w:val="auto"/>
                    </w:rPr>
                    <w:t>噪声</w:t>
                  </w:r>
                </w:p>
              </w:tc>
              <w:tc>
                <w:tcPr>
                  <w:tcW w:w="1297" w:type="pct"/>
                  <w:vAlign w:val="center"/>
                </w:tcPr>
                <w:p>
                  <w:pPr>
                    <w:pStyle w:val="96"/>
                    <w:rPr>
                      <w:rFonts w:eastAsia="宋体"/>
                      <w:color w:val="auto"/>
                    </w:rPr>
                  </w:pPr>
                  <w:r>
                    <w:rPr>
                      <w:rFonts w:eastAsia="宋体"/>
                      <w:color w:val="auto"/>
                    </w:rPr>
                    <w:t>等效A声级</w:t>
                  </w:r>
                </w:p>
              </w:tc>
              <w:tc>
                <w:tcPr>
                  <w:tcW w:w="833" w:type="pct"/>
                  <w:vAlign w:val="center"/>
                </w:tcPr>
                <w:p>
                  <w:pPr>
                    <w:pStyle w:val="96"/>
                    <w:rPr>
                      <w:rFonts w:eastAsia="宋体"/>
                      <w:color w:val="auto"/>
                    </w:rPr>
                  </w:pPr>
                  <w:r>
                    <w:rPr>
                      <w:rFonts w:eastAsia="宋体"/>
                      <w:color w:val="auto"/>
                    </w:rPr>
                    <w:t>厂界</w:t>
                  </w:r>
                </w:p>
              </w:tc>
              <w:tc>
                <w:tcPr>
                  <w:tcW w:w="1021" w:type="pct"/>
                  <w:vAlign w:val="center"/>
                </w:tcPr>
                <w:p>
                  <w:pPr>
                    <w:pStyle w:val="96"/>
                    <w:rPr>
                      <w:rFonts w:eastAsia="宋体"/>
                      <w:color w:val="auto"/>
                    </w:rPr>
                  </w:pPr>
                  <w:r>
                    <w:rPr>
                      <w:rFonts w:eastAsia="宋体"/>
                      <w:color w:val="auto"/>
                    </w:rPr>
                    <w:t>1次/季度</w:t>
                  </w:r>
                </w:p>
              </w:tc>
              <w:tc>
                <w:tcPr>
                  <w:tcW w:w="1305" w:type="pct"/>
                </w:tcPr>
                <w:p>
                  <w:pPr>
                    <w:pStyle w:val="96"/>
                    <w:rPr>
                      <w:rFonts w:eastAsia="宋体"/>
                      <w:color w:val="auto"/>
                    </w:rPr>
                  </w:pPr>
                  <w:r>
                    <w:rPr>
                      <w:rFonts w:eastAsia="宋体"/>
                      <w:color w:val="auto"/>
                    </w:rPr>
                    <w:t>《工业企业厂界环境噪声排放标准》（GB12348-2008）表1中</w:t>
                  </w:r>
                  <w:r>
                    <w:rPr>
                      <w:rFonts w:hint="eastAsia" w:eastAsia="宋体"/>
                      <w:color w:val="auto"/>
                    </w:rPr>
                    <w:t>2类</w:t>
                  </w:r>
                  <w:r>
                    <w:rPr>
                      <w:rFonts w:eastAsia="宋体"/>
                      <w:color w:val="auto"/>
                    </w:rPr>
                    <w:t>标准</w:t>
                  </w:r>
                </w:p>
              </w:tc>
            </w:tr>
          </w:tbl>
          <w:p>
            <w:pPr>
              <w:pStyle w:val="93"/>
              <w:spacing w:line="360" w:lineRule="auto"/>
              <w:ind w:firstLine="480"/>
              <w:rPr>
                <w:rFonts w:eastAsia="宋体"/>
                <w:color w:val="auto"/>
              </w:rPr>
            </w:pPr>
            <w:r>
              <w:rPr>
                <w:rFonts w:eastAsia="宋体"/>
                <w:color w:val="auto"/>
              </w:rPr>
              <w:t>严格落实环保措施后，厂界噪声可满足《工业企业厂界环境噪声排放标准》（GB12348-2008）表1中</w:t>
            </w:r>
            <w:r>
              <w:rPr>
                <w:rFonts w:hint="eastAsia" w:eastAsia="宋体"/>
                <w:color w:val="auto"/>
              </w:rPr>
              <w:t>2类</w:t>
            </w:r>
            <w:r>
              <w:rPr>
                <w:rFonts w:eastAsia="宋体"/>
                <w:color w:val="auto"/>
              </w:rPr>
              <w:t>标准。项目产生的噪声经隔声及距离衰减后可达标排放，对周围声环境影响较小。</w:t>
            </w:r>
          </w:p>
          <w:p>
            <w:pPr>
              <w:pStyle w:val="52"/>
              <w:spacing w:line="500" w:lineRule="exact"/>
              <w:ind w:firstLine="482"/>
              <w:rPr>
                <w:rFonts w:cs="Times New Roman"/>
                <w:b/>
                <w:bCs/>
                <w:color w:val="auto"/>
                <w:sz w:val="24"/>
              </w:rPr>
            </w:pPr>
            <w:r>
              <w:rPr>
                <w:rFonts w:cs="Times New Roman"/>
                <w:b/>
                <w:bCs/>
                <w:color w:val="auto"/>
                <w:sz w:val="24"/>
              </w:rPr>
              <w:t>四、固体废物环境影响和保护措施</w:t>
            </w:r>
          </w:p>
          <w:p>
            <w:pPr>
              <w:pStyle w:val="52"/>
              <w:spacing w:line="500" w:lineRule="exact"/>
              <w:ind w:firstLine="480"/>
              <w:rPr>
                <w:rFonts w:cs="Times New Roman"/>
                <w:color w:val="auto"/>
                <w:sz w:val="24"/>
              </w:rPr>
            </w:pPr>
            <w:r>
              <w:rPr>
                <w:rFonts w:cs="Times New Roman"/>
                <w:color w:val="auto"/>
                <w:sz w:val="24"/>
              </w:rPr>
              <w:t>项目投入营运后项目固体废物产生及处置情况见下表。</w:t>
            </w:r>
          </w:p>
          <w:p>
            <w:pPr>
              <w:pStyle w:val="46"/>
              <w:rPr>
                <w:rFonts w:eastAsia="宋体" w:cs="Times New Roman"/>
                <w:b w:val="0"/>
                <w:bCs/>
                <w:szCs w:val="24"/>
              </w:rPr>
            </w:pPr>
            <w:r>
              <w:rPr>
                <w:rFonts w:eastAsia="宋体" w:cs="Times New Roman"/>
                <w:bCs/>
                <w:szCs w:val="24"/>
              </w:rPr>
              <w:t>表4-</w:t>
            </w:r>
            <w:r>
              <w:rPr>
                <w:rFonts w:hint="eastAsia" w:eastAsia="宋体" w:cs="Times New Roman"/>
                <w:bCs/>
                <w:szCs w:val="24"/>
              </w:rPr>
              <w:t>8</w:t>
            </w:r>
            <w:r>
              <w:rPr>
                <w:rFonts w:eastAsia="宋体" w:cs="Times New Roman"/>
                <w:bCs/>
                <w:szCs w:val="24"/>
              </w:rPr>
              <w:t xml:space="preserve"> 项目固体废物汇总表</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5"/>
              <w:gridCol w:w="852"/>
              <w:gridCol w:w="709"/>
              <w:gridCol w:w="850"/>
              <w:gridCol w:w="704"/>
              <w:gridCol w:w="851"/>
              <w:gridCol w:w="1139"/>
              <w:gridCol w:w="992"/>
              <w:gridCol w:w="10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45" w:type="dxa"/>
                  <w:vMerge w:val="restart"/>
                  <w:vAlign w:val="center"/>
                </w:tcPr>
                <w:p>
                  <w:pPr>
                    <w:pStyle w:val="88"/>
                    <w:rPr>
                      <w:rFonts w:ascii="Times New Roman" w:hAnsi="Times New Roman" w:eastAsia="宋体"/>
                      <w:szCs w:val="21"/>
                    </w:rPr>
                  </w:pPr>
                  <w:r>
                    <w:rPr>
                      <w:rFonts w:ascii="Times New Roman" w:hAnsi="Times New Roman" w:eastAsia="宋体"/>
                      <w:szCs w:val="21"/>
                    </w:rPr>
                    <w:t>工序/生产线</w:t>
                  </w:r>
                </w:p>
              </w:tc>
              <w:tc>
                <w:tcPr>
                  <w:tcW w:w="852" w:type="dxa"/>
                  <w:vMerge w:val="restart"/>
                  <w:vAlign w:val="center"/>
                </w:tcPr>
                <w:p>
                  <w:pPr>
                    <w:pStyle w:val="88"/>
                    <w:rPr>
                      <w:rFonts w:ascii="Times New Roman" w:hAnsi="Times New Roman" w:eastAsia="宋体"/>
                      <w:szCs w:val="21"/>
                    </w:rPr>
                  </w:pPr>
                  <w:r>
                    <w:rPr>
                      <w:rFonts w:ascii="Times New Roman" w:hAnsi="Times New Roman" w:eastAsia="宋体"/>
                      <w:szCs w:val="21"/>
                    </w:rPr>
                    <w:t>固体废物名称</w:t>
                  </w:r>
                </w:p>
              </w:tc>
              <w:tc>
                <w:tcPr>
                  <w:tcW w:w="709" w:type="dxa"/>
                  <w:vMerge w:val="restart"/>
                  <w:vAlign w:val="center"/>
                </w:tcPr>
                <w:p>
                  <w:pPr>
                    <w:pStyle w:val="88"/>
                    <w:rPr>
                      <w:rFonts w:ascii="Times New Roman" w:hAnsi="Times New Roman" w:eastAsia="宋体"/>
                      <w:szCs w:val="21"/>
                    </w:rPr>
                  </w:pPr>
                  <w:r>
                    <w:rPr>
                      <w:rFonts w:ascii="Times New Roman" w:hAnsi="Times New Roman" w:eastAsia="宋体"/>
                      <w:szCs w:val="21"/>
                    </w:rPr>
                    <w:t>固体废物属性</w:t>
                  </w:r>
                </w:p>
              </w:tc>
              <w:tc>
                <w:tcPr>
                  <w:tcW w:w="850" w:type="dxa"/>
                  <w:vMerge w:val="restart"/>
                  <w:vAlign w:val="center"/>
                </w:tcPr>
                <w:p>
                  <w:pPr>
                    <w:pStyle w:val="88"/>
                    <w:rPr>
                      <w:rFonts w:ascii="Times New Roman" w:hAnsi="Times New Roman" w:eastAsia="宋体"/>
                      <w:szCs w:val="21"/>
                    </w:rPr>
                  </w:pPr>
                  <w:r>
                    <w:rPr>
                      <w:rFonts w:ascii="Times New Roman" w:hAnsi="Times New Roman" w:eastAsia="宋体"/>
                      <w:szCs w:val="21"/>
                    </w:rPr>
                    <w:t>固体废物类别代码</w:t>
                  </w:r>
                </w:p>
              </w:tc>
              <w:tc>
                <w:tcPr>
                  <w:tcW w:w="1555" w:type="dxa"/>
                  <w:gridSpan w:val="2"/>
                  <w:vAlign w:val="center"/>
                </w:tcPr>
                <w:p>
                  <w:pPr>
                    <w:pStyle w:val="88"/>
                    <w:rPr>
                      <w:rFonts w:ascii="Times New Roman" w:hAnsi="Times New Roman" w:eastAsia="宋体"/>
                      <w:szCs w:val="21"/>
                    </w:rPr>
                  </w:pPr>
                  <w:r>
                    <w:rPr>
                      <w:rFonts w:ascii="Times New Roman" w:hAnsi="Times New Roman" w:eastAsia="宋体"/>
                      <w:szCs w:val="21"/>
                    </w:rPr>
                    <w:t>产生情况</w:t>
                  </w:r>
                </w:p>
              </w:tc>
              <w:tc>
                <w:tcPr>
                  <w:tcW w:w="2131" w:type="dxa"/>
                  <w:gridSpan w:val="2"/>
                  <w:vAlign w:val="center"/>
                </w:tcPr>
                <w:p>
                  <w:pPr>
                    <w:pStyle w:val="88"/>
                    <w:rPr>
                      <w:rFonts w:ascii="Times New Roman" w:hAnsi="Times New Roman" w:eastAsia="宋体"/>
                      <w:szCs w:val="21"/>
                    </w:rPr>
                  </w:pPr>
                  <w:r>
                    <w:rPr>
                      <w:rFonts w:ascii="Times New Roman" w:hAnsi="Times New Roman" w:eastAsia="宋体"/>
                      <w:szCs w:val="21"/>
                    </w:rPr>
                    <w:t>处置措施</w:t>
                  </w:r>
                </w:p>
              </w:tc>
              <w:tc>
                <w:tcPr>
                  <w:tcW w:w="1068" w:type="dxa"/>
                  <w:vMerge w:val="restart"/>
                  <w:vAlign w:val="center"/>
                </w:tcPr>
                <w:p>
                  <w:pPr>
                    <w:pStyle w:val="88"/>
                    <w:rPr>
                      <w:rFonts w:ascii="Times New Roman" w:hAnsi="Times New Roman" w:eastAsia="宋体"/>
                      <w:szCs w:val="21"/>
                    </w:rPr>
                  </w:pPr>
                  <w:r>
                    <w:rPr>
                      <w:rFonts w:ascii="Times New Roman" w:hAnsi="Times New Roman" w:eastAsia="宋体"/>
                      <w:szCs w:val="21"/>
                    </w:rPr>
                    <w:t>最终去向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45" w:type="dxa"/>
                  <w:vMerge w:val="continue"/>
                  <w:vAlign w:val="center"/>
                </w:tcPr>
                <w:p>
                  <w:pPr>
                    <w:pStyle w:val="88"/>
                    <w:rPr>
                      <w:rFonts w:ascii="Times New Roman" w:hAnsi="Times New Roman" w:eastAsia="宋体"/>
                      <w:szCs w:val="21"/>
                    </w:rPr>
                  </w:pPr>
                </w:p>
              </w:tc>
              <w:tc>
                <w:tcPr>
                  <w:tcW w:w="852" w:type="dxa"/>
                  <w:vMerge w:val="continue"/>
                  <w:vAlign w:val="center"/>
                </w:tcPr>
                <w:p>
                  <w:pPr>
                    <w:pStyle w:val="88"/>
                    <w:rPr>
                      <w:rFonts w:ascii="Times New Roman" w:hAnsi="Times New Roman" w:eastAsia="宋体"/>
                      <w:szCs w:val="21"/>
                    </w:rPr>
                  </w:pPr>
                </w:p>
              </w:tc>
              <w:tc>
                <w:tcPr>
                  <w:tcW w:w="709" w:type="dxa"/>
                  <w:vMerge w:val="continue"/>
                  <w:vAlign w:val="center"/>
                </w:tcPr>
                <w:p>
                  <w:pPr>
                    <w:pStyle w:val="88"/>
                    <w:rPr>
                      <w:rFonts w:ascii="Times New Roman" w:hAnsi="Times New Roman" w:eastAsia="宋体"/>
                      <w:szCs w:val="21"/>
                    </w:rPr>
                  </w:pPr>
                </w:p>
              </w:tc>
              <w:tc>
                <w:tcPr>
                  <w:tcW w:w="850" w:type="dxa"/>
                  <w:vMerge w:val="continue"/>
                  <w:vAlign w:val="center"/>
                </w:tcPr>
                <w:p>
                  <w:pPr>
                    <w:pStyle w:val="88"/>
                    <w:rPr>
                      <w:rFonts w:ascii="Times New Roman" w:hAnsi="Times New Roman" w:eastAsia="宋体"/>
                      <w:szCs w:val="21"/>
                    </w:rPr>
                  </w:pPr>
                </w:p>
              </w:tc>
              <w:tc>
                <w:tcPr>
                  <w:tcW w:w="704" w:type="dxa"/>
                  <w:vAlign w:val="center"/>
                </w:tcPr>
                <w:p>
                  <w:pPr>
                    <w:pStyle w:val="88"/>
                    <w:rPr>
                      <w:rFonts w:ascii="Times New Roman" w:hAnsi="Times New Roman" w:eastAsia="宋体"/>
                      <w:szCs w:val="21"/>
                    </w:rPr>
                  </w:pPr>
                  <w:r>
                    <w:rPr>
                      <w:rFonts w:ascii="Times New Roman" w:hAnsi="Times New Roman" w:eastAsia="宋体"/>
                      <w:szCs w:val="21"/>
                    </w:rPr>
                    <w:t>核算方法</w:t>
                  </w:r>
                </w:p>
              </w:tc>
              <w:tc>
                <w:tcPr>
                  <w:tcW w:w="851" w:type="dxa"/>
                  <w:vAlign w:val="center"/>
                </w:tcPr>
                <w:p>
                  <w:pPr>
                    <w:pStyle w:val="88"/>
                    <w:rPr>
                      <w:rFonts w:ascii="Times New Roman" w:hAnsi="Times New Roman" w:eastAsia="宋体"/>
                      <w:szCs w:val="21"/>
                    </w:rPr>
                  </w:pPr>
                  <w:r>
                    <w:rPr>
                      <w:rFonts w:ascii="Times New Roman" w:hAnsi="Times New Roman" w:eastAsia="宋体"/>
                      <w:szCs w:val="21"/>
                    </w:rPr>
                    <w:t>产生量t/a</w:t>
                  </w:r>
                </w:p>
              </w:tc>
              <w:tc>
                <w:tcPr>
                  <w:tcW w:w="1139" w:type="dxa"/>
                  <w:vAlign w:val="center"/>
                </w:tcPr>
                <w:p>
                  <w:pPr>
                    <w:pStyle w:val="88"/>
                    <w:rPr>
                      <w:rFonts w:ascii="Times New Roman" w:hAnsi="Times New Roman" w:eastAsia="宋体"/>
                      <w:szCs w:val="21"/>
                    </w:rPr>
                  </w:pPr>
                  <w:r>
                    <w:rPr>
                      <w:rFonts w:ascii="Times New Roman" w:hAnsi="Times New Roman" w:eastAsia="宋体"/>
                      <w:szCs w:val="21"/>
                    </w:rPr>
                    <w:t>工艺</w:t>
                  </w:r>
                </w:p>
              </w:tc>
              <w:tc>
                <w:tcPr>
                  <w:tcW w:w="992" w:type="dxa"/>
                  <w:vAlign w:val="center"/>
                </w:tcPr>
                <w:p>
                  <w:pPr>
                    <w:pStyle w:val="88"/>
                    <w:rPr>
                      <w:rFonts w:ascii="Times New Roman" w:hAnsi="Times New Roman" w:eastAsia="宋体"/>
                      <w:szCs w:val="21"/>
                    </w:rPr>
                  </w:pPr>
                  <w:r>
                    <w:rPr>
                      <w:rFonts w:ascii="Times New Roman" w:hAnsi="Times New Roman" w:eastAsia="宋体"/>
                      <w:szCs w:val="21"/>
                    </w:rPr>
                    <w:t>处置量t/a</w:t>
                  </w:r>
                </w:p>
              </w:tc>
              <w:tc>
                <w:tcPr>
                  <w:tcW w:w="1068" w:type="dxa"/>
                  <w:vMerge w:val="continue"/>
                  <w:vAlign w:val="center"/>
                </w:tcPr>
                <w:p>
                  <w:pPr>
                    <w:pStyle w:val="88"/>
                    <w:rPr>
                      <w:rFonts w:ascii="Times New Roman" w:hAnsi="Times New Roman" w:eastAsia="宋体"/>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45" w:type="dxa"/>
                  <w:vMerge w:val="restart"/>
                  <w:vAlign w:val="center"/>
                </w:tcPr>
                <w:p>
                  <w:pPr>
                    <w:pStyle w:val="88"/>
                    <w:rPr>
                      <w:rFonts w:ascii="Times New Roman" w:hAnsi="Times New Roman" w:eastAsia="宋体"/>
                      <w:szCs w:val="21"/>
                    </w:rPr>
                  </w:pPr>
                  <w:r>
                    <w:rPr>
                      <w:rFonts w:hint="eastAsia" w:ascii="Times New Roman" w:hAnsi="Times New Roman" w:eastAsia="宋体"/>
                      <w:szCs w:val="21"/>
                    </w:rPr>
                    <w:t>洗煤工序</w:t>
                  </w:r>
                </w:p>
              </w:tc>
              <w:tc>
                <w:tcPr>
                  <w:tcW w:w="852" w:type="dxa"/>
                  <w:vAlign w:val="center"/>
                </w:tcPr>
                <w:p>
                  <w:pPr>
                    <w:pStyle w:val="88"/>
                    <w:rPr>
                      <w:rFonts w:ascii="Times New Roman" w:hAnsi="Times New Roman" w:eastAsia="宋体"/>
                      <w:szCs w:val="21"/>
                    </w:rPr>
                  </w:pPr>
                  <w:r>
                    <w:rPr>
                      <w:rFonts w:ascii="Times New Roman" w:hAnsi="Times New Roman" w:eastAsia="宋体"/>
                      <w:szCs w:val="22"/>
                    </w:rPr>
                    <w:t>矸石</w:t>
                  </w:r>
                </w:p>
              </w:tc>
              <w:tc>
                <w:tcPr>
                  <w:tcW w:w="709" w:type="dxa"/>
                  <w:vAlign w:val="center"/>
                </w:tcPr>
                <w:p>
                  <w:pPr>
                    <w:pStyle w:val="88"/>
                    <w:rPr>
                      <w:rFonts w:ascii="Times New Roman" w:hAnsi="Times New Roman" w:eastAsia="宋体"/>
                      <w:szCs w:val="21"/>
                    </w:rPr>
                  </w:pPr>
                  <w:r>
                    <w:rPr>
                      <w:rFonts w:ascii="Times New Roman" w:hAnsi="Times New Roman" w:eastAsia="宋体"/>
                      <w:szCs w:val="21"/>
                    </w:rPr>
                    <w:t>一般工业固体废物</w:t>
                  </w:r>
                </w:p>
              </w:tc>
              <w:tc>
                <w:tcPr>
                  <w:tcW w:w="850" w:type="dxa"/>
                  <w:vAlign w:val="center"/>
                </w:tcPr>
                <w:p>
                  <w:pPr>
                    <w:pStyle w:val="88"/>
                    <w:rPr>
                      <w:rFonts w:ascii="Times New Roman" w:hAnsi="Times New Roman" w:eastAsiaTheme="minorEastAsia"/>
                      <w:szCs w:val="21"/>
                    </w:rPr>
                  </w:pPr>
                  <w:r>
                    <w:rPr>
                      <w:rFonts w:ascii="Times New Roman" w:hAnsi="Times New Roman" w:eastAsiaTheme="minorEastAsia"/>
                      <w:szCs w:val="21"/>
                    </w:rPr>
                    <w:t>060-001-S04</w:t>
                  </w:r>
                </w:p>
              </w:tc>
              <w:tc>
                <w:tcPr>
                  <w:tcW w:w="704" w:type="dxa"/>
                  <w:vMerge w:val="restart"/>
                  <w:vAlign w:val="center"/>
                </w:tcPr>
                <w:p>
                  <w:pPr>
                    <w:pStyle w:val="88"/>
                    <w:rPr>
                      <w:rFonts w:ascii="Times New Roman" w:hAnsi="Times New Roman" w:eastAsia="宋体"/>
                      <w:szCs w:val="21"/>
                    </w:rPr>
                  </w:pPr>
                  <w:r>
                    <w:rPr>
                      <w:rFonts w:ascii="Times New Roman" w:hAnsi="Times New Roman" w:eastAsia="宋体"/>
                      <w:szCs w:val="21"/>
                    </w:rPr>
                    <w:t>类比法</w:t>
                  </w:r>
                </w:p>
              </w:tc>
              <w:tc>
                <w:tcPr>
                  <w:tcW w:w="851" w:type="dxa"/>
                  <w:vAlign w:val="center"/>
                </w:tcPr>
                <w:p>
                  <w:pPr>
                    <w:pStyle w:val="88"/>
                    <w:rPr>
                      <w:rFonts w:ascii="Times New Roman" w:hAnsi="Times New Roman" w:eastAsia="宋体"/>
                      <w:szCs w:val="21"/>
                    </w:rPr>
                  </w:pPr>
                  <w:r>
                    <w:rPr>
                      <w:rFonts w:hint="eastAsia" w:ascii="Times New Roman" w:hAnsi="Times New Roman" w:eastAsia="宋体"/>
                      <w:szCs w:val="21"/>
                    </w:rPr>
                    <w:t>76000</w:t>
                  </w:r>
                </w:p>
              </w:tc>
              <w:tc>
                <w:tcPr>
                  <w:tcW w:w="1139" w:type="dxa"/>
                  <w:vAlign w:val="center"/>
                </w:tcPr>
                <w:p>
                  <w:pPr>
                    <w:pStyle w:val="88"/>
                    <w:jc w:val="both"/>
                    <w:rPr>
                      <w:rFonts w:ascii="Times New Roman" w:hAnsi="Times New Roman" w:eastAsia="宋体"/>
                      <w:szCs w:val="21"/>
                    </w:rPr>
                  </w:pPr>
                  <w:r>
                    <w:rPr>
                      <w:rFonts w:ascii="Times New Roman" w:hAnsi="Times New Roman" w:eastAsia="宋体"/>
                      <w:szCs w:val="22"/>
                    </w:rPr>
                    <w:t>暂存后外运处置</w:t>
                  </w:r>
                </w:p>
              </w:tc>
              <w:tc>
                <w:tcPr>
                  <w:tcW w:w="992" w:type="dxa"/>
                  <w:vAlign w:val="center"/>
                </w:tcPr>
                <w:p>
                  <w:pPr>
                    <w:pStyle w:val="88"/>
                    <w:rPr>
                      <w:rFonts w:ascii="Times New Roman" w:hAnsi="Times New Roman" w:eastAsia="宋体"/>
                      <w:szCs w:val="21"/>
                    </w:rPr>
                  </w:pPr>
                  <w:r>
                    <w:rPr>
                      <w:rFonts w:hint="eastAsia" w:ascii="Times New Roman" w:hAnsi="Times New Roman" w:eastAsia="宋体"/>
                      <w:szCs w:val="21"/>
                    </w:rPr>
                    <w:t>76000</w:t>
                  </w:r>
                </w:p>
              </w:tc>
              <w:tc>
                <w:tcPr>
                  <w:tcW w:w="1068" w:type="dxa"/>
                  <w:vAlign w:val="center"/>
                </w:tcPr>
                <w:p>
                  <w:pPr>
                    <w:pStyle w:val="88"/>
                    <w:jc w:val="both"/>
                    <w:rPr>
                      <w:rFonts w:ascii="Times New Roman" w:hAnsi="Times New Roman" w:eastAsia="宋体"/>
                      <w:szCs w:val="21"/>
                    </w:rPr>
                  </w:pPr>
                  <w:r>
                    <w:rPr>
                      <w:rFonts w:ascii="Times New Roman" w:hAnsi="Times New Roman" w:eastAsia="宋体"/>
                      <w:szCs w:val="22"/>
                    </w:rPr>
                    <w:t>拉运至</w:t>
                  </w:r>
                  <w:r>
                    <w:rPr>
                      <w:rFonts w:hint="eastAsia" w:ascii="Times New Roman" w:hAnsi="Times New Roman" w:eastAsia="宋体"/>
                      <w:szCs w:val="22"/>
                    </w:rPr>
                    <w:t>建筑材料生产单位回收利用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45" w:type="dxa"/>
                  <w:vMerge w:val="continue"/>
                  <w:vAlign w:val="center"/>
                </w:tcPr>
                <w:p>
                  <w:pPr>
                    <w:pStyle w:val="88"/>
                    <w:rPr>
                      <w:rFonts w:ascii="Calibri" w:hAnsi="Calibri" w:eastAsia="宋体"/>
                      <w:szCs w:val="21"/>
                    </w:rPr>
                  </w:pPr>
                </w:p>
              </w:tc>
              <w:tc>
                <w:tcPr>
                  <w:tcW w:w="852" w:type="dxa"/>
                  <w:vAlign w:val="center"/>
                </w:tcPr>
                <w:p>
                  <w:pPr>
                    <w:pStyle w:val="88"/>
                    <w:rPr>
                      <w:rFonts w:ascii="Calibri" w:hAnsi="Calibri" w:eastAsia="宋体"/>
                      <w:szCs w:val="22"/>
                    </w:rPr>
                  </w:pPr>
                  <w:r>
                    <w:rPr>
                      <w:rFonts w:hint="eastAsia" w:ascii="Calibri" w:hAnsi="Calibri" w:eastAsia="宋体"/>
                      <w:szCs w:val="22"/>
                    </w:rPr>
                    <w:t>沉淀池、雨水收集池沉渣</w:t>
                  </w:r>
                </w:p>
              </w:tc>
              <w:tc>
                <w:tcPr>
                  <w:tcW w:w="709" w:type="dxa"/>
                  <w:vAlign w:val="center"/>
                </w:tcPr>
                <w:p>
                  <w:pPr>
                    <w:pStyle w:val="88"/>
                    <w:rPr>
                      <w:rFonts w:ascii="Calibri" w:hAnsi="Calibri" w:eastAsia="宋体"/>
                      <w:szCs w:val="21"/>
                    </w:rPr>
                  </w:pPr>
                  <w:r>
                    <w:rPr>
                      <w:rFonts w:ascii="Times New Roman" w:hAnsi="Times New Roman" w:eastAsia="宋体"/>
                      <w:szCs w:val="21"/>
                    </w:rPr>
                    <w:t>一般工业固体废物</w:t>
                  </w:r>
                </w:p>
              </w:tc>
              <w:tc>
                <w:tcPr>
                  <w:tcW w:w="850" w:type="dxa"/>
                  <w:vAlign w:val="center"/>
                </w:tcPr>
                <w:p>
                  <w:pPr>
                    <w:pStyle w:val="88"/>
                    <w:rPr>
                      <w:rFonts w:ascii="Times New Roman" w:hAnsi="Times New Roman"/>
                      <w:szCs w:val="21"/>
                    </w:rPr>
                  </w:pPr>
                  <w:r>
                    <w:rPr>
                      <w:rFonts w:hint="eastAsia" w:ascii="Times New Roman" w:hAnsi="Times New Roman"/>
                      <w:szCs w:val="21"/>
                    </w:rPr>
                    <w:t>900-09</w:t>
                  </w:r>
                </w:p>
                <w:p>
                  <w:pPr>
                    <w:pStyle w:val="88"/>
                    <w:rPr>
                      <w:rFonts w:ascii="Times New Roman" w:hAnsi="Times New Roman" w:eastAsiaTheme="minorEastAsia"/>
                      <w:szCs w:val="21"/>
                    </w:rPr>
                  </w:pPr>
                  <w:r>
                    <w:rPr>
                      <w:rFonts w:hint="eastAsia" w:ascii="Times New Roman" w:hAnsi="Times New Roman"/>
                      <w:szCs w:val="21"/>
                    </w:rPr>
                    <w:t>9-S59</w:t>
                  </w:r>
                </w:p>
              </w:tc>
              <w:tc>
                <w:tcPr>
                  <w:tcW w:w="704" w:type="dxa"/>
                  <w:vMerge w:val="continue"/>
                  <w:vAlign w:val="center"/>
                </w:tcPr>
                <w:p>
                  <w:pPr>
                    <w:pStyle w:val="88"/>
                    <w:rPr>
                      <w:rFonts w:ascii="Calibri" w:hAnsi="Calibri" w:eastAsia="宋体"/>
                      <w:szCs w:val="21"/>
                    </w:rPr>
                  </w:pPr>
                </w:p>
              </w:tc>
              <w:tc>
                <w:tcPr>
                  <w:tcW w:w="851" w:type="dxa"/>
                  <w:vAlign w:val="center"/>
                </w:tcPr>
                <w:p>
                  <w:pPr>
                    <w:pStyle w:val="88"/>
                    <w:rPr>
                      <w:rFonts w:ascii="Times New Roman" w:hAnsi="Times New Roman"/>
                      <w:szCs w:val="21"/>
                    </w:rPr>
                  </w:pPr>
                  <w:r>
                    <w:rPr>
                      <w:rFonts w:hint="eastAsia" w:ascii="Times New Roman" w:hAnsi="Times New Roman"/>
                      <w:szCs w:val="21"/>
                    </w:rPr>
                    <w:t>0.5</w:t>
                  </w:r>
                </w:p>
              </w:tc>
              <w:tc>
                <w:tcPr>
                  <w:tcW w:w="1139" w:type="dxa"/>
                  <w:vAlign w:val="center"/>
                </w:tcPr>
                <w:p>
                  <w:pPr>
                    <w:pStyle w:val="88"/>
                    <w:jc w:val="both"/>
                    <w:rPr>
                      <w:rFonts w:ascii="Times New Roman" w:hAnsi="Times New Roman"/>
                      <w:szCs w:val="21"/>
                    </w:rPr>
                  </w:pPr>
                  <w:r>
                    <w:rPr>
                      <w:rFonts w:hint="eastAsia" w:ascii="宋体" w:hAnsi="宋体" w:eastAsia="宋体" w:cs="宋体"/>
                      <w:szCs w:val="21"/>
                    </w:rPr>
                    <w:t>外售综合利用</w:t>
                  </w:r>
                </w:p>
              </w:tc>
              <w:tc>
                <w:tcPr>
                  <w:tcW w:w="992" w:type="dxa"/>
                  <w:vAlign w:val="center"/>
                </w:tcPr>
                <w:p>
                  <w:pPr>
                    <w:pStyle w:val="88"/>
                    <w:rPr>
                      <w:rFonts w:ascii="Times New Roman" w:hAnsi="Times New Roman"/>
                      <w:szCs w:val="21"/>
                    </w:rPr>
                  </w:pPr>
                  <w:r>
                    <w:rPr>
                      <w:rFonts w:hint="eastAsia" w:ascii="Times New Roman" w:hAnsi="Times New Roman"/>
                      <w:szCs w:val="21"/>
                    </w:rPr>
                    <w:t>0.5</w:t>
                  </w:r>
                </w:p>
              </w:tc>
              <w:tc>
                <w:tcPr>
                  <w:tcW w:w="1068" w:type="dxa"/>
                  <w:vAlign w:val="center"/>
                </w:tcPr>
                <w:p>
                  <w:pPr>
                    <w:pStyle w:val="88"/>
                    <w:jc w:val="both"/>
                    <w:rPr>
                      <w:rFonts w:ascii="Calibri" w:hAnsi="Calibri" w:eastAsia="宋体"/>
                      <w:szCs w:val="22"/>
                    </w:rPr>
                  </w:pPr>
                  <w:r>
                    <w:rPr>
                      <w:rFonts w:hint="eastAsia" w:ascii="宋体" w:hAnsi="宋体" w:eastAsia="宋体" w:cs="宋体"/>
                      <w:szCs w:val="21"/>
                    </w:rPr>
                    <w:t>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8" w:hRule="atLeast"/>
              </w:trPr>
              <w:tc>
                <w:tcPr>
                  <w:tcW w:w="745" w:type="dxa"/>
                  <w:vMerge w:val="continue"/>
                  <w:vAlign w:val="center"/>
                </w:tcPr>
                <w:p>
                  <w:pPr>
                    <w:pStyle w:val="88"/>
                    <w:rPr>
                      <w:rFonts w:ascii="Times New Roman" w:hAnsi="Times New Roman" w:eastAsia="宋体"/>
                      <w:szCs w:val="21"/>
                    </w:rPr>
                  </w:pPr>
                </w:p>
              </w:tc>
              <w:tc>
                <w:tcPr>
                  <w:tcW w:w="852" w:type="dxa"/>
                  <w:vAlign w:val="center"/>
                </w:tcPr>
                <w:p>
                  <w:pPr>
                    <w:pStyle w:val="88"/>
                    <w:rPr>
                      <w:rFonts w:ascii="Times New Roman" w:hAnsi="Times New Roman"/>
                      <w:szCs w:val="21"/>
                    </w:rPr>
                  </w:pPr>
                  <w:r>
                    <w:rPr>
                      <w:rFonts w:hint="eastAsia" w:ascii="宋体" w:hAnsi="宋体" w:eastAsia="宋体" w:cs="宋体"/>
                      <w:szCs w:val="21"/>
                    </w:rPr>
                    <w:t>废矿物油</w:t>
                  </w:r>
                </w:p>
              </w:tc>
              <w:tc>
                <w:tcPr>
                  <w:tcW w:w="709" w:type="dxa"/>
                  <w:vAlign w:val="center"/>
                </w:tcPr>
                <w:p>
                  <w:pPr>
                    <w:pStyle w:val="88"/>
                    <w:rPr>
                      <w:rFonts w:ascii="Times New Roman" w:hAnsi="Times New Roman"/>
                      <w:szCs w:val="21"/>
                    </w:rPr>
                  </w:pPr>
                  <w:r>
                    <w:rPr>
                      <w:rFonts w:hint="eastAsia" w:ascii="宋体" w:hAnsi="宋体" w:eastAsia="宋体" w:cs="宋体"/>
                      <w:szCs w:val="21"/>
                    </w:rPr>
                    <w:t>危险废物</w:t>
                  </w:r>
                </w:p>
              </w:tc>
              <w:tc>
                <w:tcPr>
                  <w:tcW w:w="850" w:type="dxa"/>
                  <w:vAlign w:val="center"/>
                </w:tcPr>
                <w:p>
                  <w:pPr>
                    <w:pStyle w:val="88"/>
                    <w:rPr>
                      <w:rFonts w:ascii="Times New Roman" w:hAnsi="Times New Roman"/>
                      <w:szCs w:val="21"/>
                    </w:rPr>
                  </w:pPr>
                  <w:r>
                    <w:rPr>
                      <w:rFonts w:ascii="Times New Roman" w:hAnsi="Times New Roman"/>
                      <w:szCs w:val="21"/>
                    </w:rPr>
                    <w:t>900-249-08</w:t>
                  </w:r>
                </w:p>
              </w:tc>
              <w:tc>
                <w:tcPr>
                  <w:tcW w:w="704" w:type="dxa"/>
                  <w:vMerge w:val="continue"/>
                  <w:vAlign w:val="center"/>
                </w:tcPr>
                <w:p>
                  <w:pPr>
                    <w:pStyle w:val="88"/>
                    <w:rPr>
                      <w:rFonts w:ascii="Times New Roman" w:hAnsi="Times New Roman"/>
                      <w:szCs w:val="21"/>
                    </w:rPr>
                  </w:pPr>
                </w:p>
              </w:tc>
              <w:tc>
                <w:tcPr>
                  <w:tcW w:w="851" w:type="dxa"/>
                  <w:vAlign w:val="center"/>
                </w:tcPr>
                <w:p>
                  <w:pPr>
                    <w:pStyle w:val="88"/>
                    <w:rPr>
                      <w:rFonts w:ascii="Times New Roman" w:hAnsi="Times New Roman"/>
                      <w:szCs w:val="21"/>
                    </w:rPr>
                  </w:pPr>
                  <w:r>
                    <w:rPr>
                      <w:rFonts w:ascii="Times New Roman" w:hAnsi="Times New Roman"/>
                      <w:szCs w:val="21"/>
                    </w:rPr>
                    <w:t>0.01</w:t>
                  </w:r>
                </w:p>
              </w:tc>
              <w:tc>
                <w:tcPr>
                  <w:tcW w:w="1139" w:type="dxa"/>
                  <w:vAlign w:val="center"/>
                </w:tcPr>
                <w:p>
                  <w:pPr>
                    <w:pStyle w:val="88"/>
                    <w:jc w:val="both"/>
                    <w:rPr>
                      <w:rFonts w:ascii="Times New Roman" w:hAnsi="Times New Roman"/>
                      <w:szCs w:val="21"/>
                    </w:rPr>
                  </w:pPr>
                  <w:r>
                    <w:rPr>
                      <w:rFonts w:hint="eastAsia" w:ascii="宋体" w:hAnsi="宋体" w:eastAsia="宋体" w:cs="宋体"/>
                      <w:szCs w:val="21"/>
                    </w:rPr>
                    <w:t>委托有资质单位拉运处置</w:t>
                  </w:r>
                </w:p>
              </w:tc>
              <w:tc>
                <w:tcPr>
                  <w:tcW w:w="992" w:type="dxa"/>
                  <w:vAlign w:val="center"/>
                </w:tcPr>
                <w:p>
                  <w:pPr>
                    <w:pStyle w:val="88"/>
                    <w:rPr>
                      <w:rFonts w:ascii="Times New Roman" w:hAnsi="Times New Roman"/>
                      <w:szCs w:val="21"/>
                    </w:rPr>
                  </w:pPr>
                  <w:r>
                    <w:rPr>
                      <w:rFonts w:ascii="Times New Roman" w:hAnsi="Times New Roman"/>
                      <w:szCs w:val="21"/>
                    </w:rPr>
                    <w:t>0.01</w:t>
                  </w:r>
                </w:p>
              </w:tc>
              <w:tc>
                <w:tcPr>
                  <w:tcW w:w="1068" w:type="dxa"/>
                  <w:vAlign w:val="center"/>
                </w:tcPr>
                <w:p>
                  <w:pPr>
                    <w:pStyle w:val="88"/>
                    <w:jc w:val="both"/>
                    <w:rPr>
                      <w:rFonts w:ascii="Times New Roman" w:hAnsi="Times New Roman"/>
                      <w:szCs w:val="21"/>
                    </w:rPr>
                  </w:pPr>
                  <w:r>
                    <w:rPr>
                      <w:rFonts w:hint="eastAsia" w:ascii="宋体" w:hAnsi="宋体" w:eastAsia="宋体" w:cs="宋体"/>
                      <w:szCs w:val="21"/>
                    </w:rPr>
                    <w:t>委托有资质单位拉运处置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8" w:hRule="atLeast"/>
              </w:trPr>
              <w:tc>
                <w:tcPr>
                  <w:tcW w:w="745" w:type="dxa"/>
                  <w:vMerge w:val="continue"/>
                  <w:vAlign w:val="center"/>
                </w:tcPr>
                <w:p>
                  <w:pPr>
                    <w:pStyle w:val="88"/>
                    <w:rPr>
                      <w:rFonts w:ascii="Calibri" w:hAnsi="Calibri" w:eastAsia="宋体"/>
                      <w:szCs w:val="21"/>
                    </w:rPr>
                  </w:pPr>
                </w:p>
              </w:tc>
              <w:tc>
                <w:tcPr>
                  <w:tcW w:w="852" w:type="dxa"/>
                  <w:vAlign w:val="center"/>
                </w:tcPr>
                <w:p>
                  <w:pPr>
                    <w:pStyle w:val="88"/>
                    <w:rPr>
                      <w:rFonts w:ascii="Times New Roman" w:hAnsi="Times New Roman"/>
                      <w:szCs w:val="21"/>
                    </w:rPr>
                  </w:pPr>
                  <w:r>
                    <w:rPr>
                      <w:rFonts w:hint="eastAsia" w:ascii="宋体" w:hAnsi="宋体" w:eastAsia="宋体" w:cs="宋体"/>
                      <w:szCs w:val="21"/>
                    </w:rPr>
                    <w:t>废弃含油抹布、劳保用品</w:t>
                  </w:r>
                </w:p>
              </w:tc>
              <w:tc>
                <w:tcPr>
                  <w:tcW w:w="709" w:type="dxa"/>
                  <w:vAlign w:val="center"/>
                </w:tcPr>
                <w:p>
                  <w:pPr>
                    <w:pStyle w:val="88"/>
                    <w:rPr>
                      <w:rFonts w:ascii="Times New Roman" w:hAnsi="Times New Roman"/>
                      <w:szCs w:val="21"/>
                    </w:rPr>
                  </w:pPr>
                  <w:r>
                    <w:rPr>
                      <w:rFonts w:hint="eastAsia" w:ascii="宋体" w:hAnsi="宋体" w:eastAsia="宋体" w:cs="宋体"/>
                      <w:szCs w:val="21"/>
                    </w:rPr>
                    <w:t>危险废物</w:t>
                  </w:r>
                </w:p>
              </w:tc>
              <w:tc>
                <w:tcPr>
                  <w:tcW w:w="850" w:type="dxa"/>
                  <w:vAlign w:val="center"/>
                </w:tcPr>
                <w:p>
                  <w:pPr>
                    <w:pStyle w:val="88"/>
                    <w:rPr>
                      <w:rFonts w:ascii="Times New Roman" w:hAnsi="Times New Roman"/>
                      <w:szCs w:val="21"/>
                    </w:rPr>
                  </w:pPr>
                  <w:r>
                    <w:rPr>
                      <w:rFonts w:hint="eastAsia" w:ascii="Times New Roman" w:hAnsi="Times New Roman"/>
                      <w:szCs w:val="21"/>
                    </w:rPr>
                    <w:t>900-041-49</w:t>
                  </w:r>
                </w:p>
              </w:tc>
              <w:tc>
                <w:tcPr>
                  <w:tcW w:w="704" w:type="dxa"/>
                  <w:vMerge w:val="continue"/>
                  <w:vAlign w:val="center"/>
                </w:tcPr>
                <w:p>
                  <w:pPr>
                    <w:pStyle w:val="88"/>
                    <w:rPr>
                      <w:rFonts w:ascii="Times New Roman" w:hAnsi="Times New Roman"/>
                      <w:szCs w:val="21"/>
                    </w:rPr>
                  </w:pPr>
                </w:p>
              </w:tc>
              <w:tc>
                <w:tcPr>
                  <w:tcW w:w="851" w:type="dxa"/>
                  <w:vAlign w:val="center"/>
                </w:tcPr>
                <w:p>
                  <w:pPr>
                    <w:pStyle w:val="88"/>
                    <w:rPr>
                      <w:rFonts w:ascii="Times New Roman" w:hAnsi="Times New Roman" w:eastAsiaTheme="minorEastAsia"/>
                      <w:szCs w:val="21"/>
                    </w:rPr>
                  </w:pPr>
                  <w:r>
                    <w:rPr>
                      <w:rFonts w:hint="eastAsia" w:ascii="Times New Roman" w:hAnsi="Times New Roman" w:eastAsiaTheme="minorEastAsia"/>
                      <w:szCs w:val="21"/>
                    </w:rPr>
                    <w:t>0.01</w:t>
                  </w:r>
                </w:p>
              </w:tc>
              <w:tc>
                <w:tcPr>
                  <w:tcW w:w="1139" w:type="dxa"/>
                  <w:vAlign w:val="center"/>
                </w:tcPr>
                <w:p>
                  <w:pPr>
                    <w:pStyle w:val="88"/>
                    <w:jc w:val="both"/>
                    <w:rPr>
                      <w:rFonts w:ascii="Times New Roman" w:hAnsi="Times New Roman"/>
                      <w:szCs w:val="21"/>
                    </w:rPr>
                  </w:pPr>
                  <w:r>
                    <w:rPr>
                      <w:rFonts w:hint="eastAsia" w:ascii="宋体" w:hAnsi="宋体" w:eastAsia="宋体" w:cs="宋体"/>
                      <w:szCs w:val="21"/>
                    </w:rPr>
                    <w:t>委托有资质单位拉运处置</w:t>
                  </w:r>
                </w:p>
              </w:tc>
              <w:tc>
                <w:tcPr>
                  <w:tcW w:w="992" w:type="dxa"/>
                  <w:vAlign w:val="center"/>
                </w:tcPr>
                <w:p>
                  <w:pPr>
                    <w:pStyle w:val="88"/>
                    <w:rPr>
                      <w:rFonts w:ascii="Times New Roman" w:hAnsi="Times New Roman" w:eastAsiaTheme="minorEastAsia"/>
                      <w:szCs w:val="21"/>
                    </w:rPr>
                  </w:pPr>
                  <w:r>
                    <w:rPr>
                      <w:rFonts w:hint="eastAsia" w:ascii="Times New Roman" w:hAnsi="Times New Roman" w:eastAsiaTheme="minorEastAsia"/>
                      <w:szCs w:val="21"/>
                    </w:rPr>
                    <w:t>0.01</w:t>
                  </w:r>
                </w:p>
              </w:tc>
              <w:tc>
                <w:tcPr>
                  <w:tcW w:w="1068" w:type="dxa"/>
                  <w:vAlign w:val="center"/>
                </w:tcPr>
                <w:p>
                  <w:pPr>
                    <w:pStyle w:val="88"/>
                    <w:jc w:val="both"/>
                    <w:rPr>
                      <w:rFonts w:ascii="Times New Roman" w:hAnsi="Times New Roman"/>
                      <w:szCs w:val="21"/>
                    </w:rPr>
                  </w:pPr>
                  <w:r>
                    <w:rPr>
                      <w:rFonts w:hint="eastAsia" w:ascii="宋体" w:hAnsi="宋体" w:eastAsia="宋体" w:cs="宋体"/>
                      <w:szCs w:val="21"/>
                    </w:rPr>
                    <w:t>委托有资质单位拉运处置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45" w:type="dxa"/>
                  <w:vAlign w:val="center"/>
                </w:tcPr>
                <w:p>
                  <w:pPr>
                    <w:pStyle w:val="88"/>
                    <w:rPr>
                      <w:rFonts w:ascii="Times New Roman" w:hAnsi="Times New Roman" w:eastAsia="宋体"/>
                      <w:szCs w:val="21"/>
                    </w:rPr>
                  </w:pPr>
                  <w:r>
                    <w:rPr>
                      <w:rFonts w:ascii="Times New Roman" w:hAnsi="Times New Roman" w:eastAsia="宋体"/>
                      <w:szCs w:val="21"/>
                    </w:rPr>
                    <w:t>职工生活</w:t>
                  </w:r>
                </w:p>
              </w:tc>
              <w:tc>
                <w:tcPr>
                  <w:tcW w:w="852" w:type="dxa"/>
                  <w:vAlign w:val="center"/>
                </w:tcPr>
                <w:p>
                  <w:pPr>
                    <w:pStyle w:val="88"/>
                    <w:rPr>
                      <w:rFonts w:ascii="Times New Roman" w:hAnsi="Times New Roman" w:eastAsia="宋体"/>
                      <w:szCs w:val="21"/>
                    </w:rPr>
                  </w:pPr>
                  <w:r>
                    <w:rPr>
                      <w:rFonts w:ascii="Times New Roman" w:hAnsi="Times New Roman" w:eastAsia="宋体"/>
                      <w:szCs w:val="21"/>
                    </w:rPr>
                    <w:t>生活垃圾</w:t>
                  </w:r>
                </w:p>
              </w:tc>
              <w:tc>
                <w:tcPr>
                  <w:tcW w:w="709" w:type="dxa"/>
                  <w:vAlign w:val="center"/>
                </w:tcPr>
                <w:p>
                  <w:pPr>
                    <w:pStyle w:val="88"/>
                    <w:rPr>
                      <w:rFonts w:ascii="Times New Roman" w:hAnsi="Times New Roman" w:eastAsia="宋体"/>
                      <w:szCs w:val="21"/>
                    </w:rPr>
                  </w:pPr>
                  <w:r>
                    <w:rPr>
                      <w:rFonts w:ascii="Times New Roman" w:hAnsi="Times New Roman" w:eastAsia="宋体"/>
                      <w:szCs w:val="21"/>
                    </w:rPr>
                    <w:t>/</w:t>
                  </w:r>
                </w:p>
              </w:tc>
              <w:tc>
                <w:tcPr>
                  <w:tcW w:w="850" w:type="dxa"/>
                  <w:vAlign w:val="center"/>
                </w:tcPr>
                <w:p>
                  <w:pPr>
                    <w:pStyle w:val="88"/>
                    <w:rPr>
                      <w:rFonts w:ascii="Times New Roman" w:hAnsi="Times New Roman" w:eastAsiaTheme="minorEastAsia"/>
                      <w:szCs w:val="21"/>
                    </w:rPr>
                  </w:pPr>
                  <w:r>
                    <w:rPr>
                      <w:rFonts w:ascii="Times New Roman" w:hAnsi="Times New Roman" w:eastAsiaTheme="minorEastAsia"/>
                      <w:szCs w:val="21"/>
                    </w:rPr>
                    <w:t>/</w:t>
                  </w:r>
                </w:p>
              </w:tc>
              <w:tc>
                <w:tcPr>
                  <w:tcW w:w="704" w:type="dxa"/>
                  <w:vMerge w:val="continue"/>
                  <w:vAlign w:val="center"/>
                </w:tcPr>
                <w:p>
                  <w:pPr>
                    <w:pStyle w:val="88"/>
                    <w:rPr>
                      <w:rFonts w:ascii="Times New Roman" w:hAnsi="Times New Roman" w:eastAsia="宋体"/>
                      <w:szCs w:val="21"/>
                    </w:rPr>
                  </w:pPr>
                </w:p>
              </w:tc>
              <w:tc>
                <w:tcPr>
                  <w:tcW w:w="851" w:type="dxa"/>
                  <w:vAlign w:val="center"/>
                </w:tcPr>
                <w:p>
                  <w:pPr>
                    <w:pStyle w:val="88"/>
                    <w:rPr>
                      <w:rFonts w:ascii="Times New Roman" w:hAnsi="Times New Roman" w:eastAsia="宋体"/>
                      <w:szCs w:val="21"/>
                    </w:rPr>
                  </w:pPr>
                  <w:r>
                    <w:rPr>
                      <w:rFonts w:ascii="Times New Roman" w:hAnsi="Times New Roman" w:eastAsia="宋体"/>
                      <w:szCs w:val="21"/>
                    </w:rPr>
                    <w:t>0.4</w:t>
                  </w:r>
                </w:p>
              </w:tc>
              <w:tc>
                <w:tcPr>
                  <w:tcW w:w="1139" w:type="dxa"/>
                  <w:vAlign w:val="center"/>
                </w:tcPr>
                <w:p>
                  <w:pPr>
                    <w:pStyle w:val="88"/>
                    <w:jc w:val="both"/>
                    <w:rPr>
                      <w:rFonts w:ascii="Times New Roman" w:hAnsi="Times New Roman"/>
                      <w:szCs w:val="22"/>
                    </w:rPr>
                  </w:pPr>
                  <w:r>
                    <w:rPr>
                      <w:rFonts w:ascii="Times New Roman" w:hAnsi="Times New Roman" w:eastAsia="宋体"/>
                      <w:szCs w:val="22"/>
                    </w:rPr>
                    <w:t>市政部门统一清运处理</w:t>
                  </w:r>
                </w:p>
              </w:tc>
              <w:tc>
                <w:tcPr>
                  <w:tcW w:w="992" w:type="dxa"/>
                  <w:vAlign w:val="center"/>
                </w:tcPr>
                <w:p>
                  <w:pPr>
                    <w:pStyle w:val="88"/>
                    <w:rPr>
                      <w:rFonts w:ascii="Times New Roman" w:hAnsi="Times New Roman" w:eastAsiaTheme="minorEastAsia"/>
                      <w:szCs w:val="21"/>
                    </w:rPr>
                  </w:pPr>
                  <w:r>
                    <w:rPr>
                      <w:rFonts w:ascii="Times New Roman" w:hAnsi="Times New Roman" w:eastAsiaTheme="minorEastAsia"/>
                      <w:szCs w:val="21"/>
                    </w:rPr>
                    <w:t>0.4</w:t>
                  </w:r>
                </w:p>
              </w:tc>
              <w:tc>
                <w:tcPr>
                  <w:tcW w:w="1068" w:type="dxa"/>
                  <w:vAlign w:val="center"/>
                </w:tcPr>
                <w:p>
                  <w:pPr>
                    <w:pStyle w:val="88"/>
                    <w:jc w:val="both"/>
                    <w:rPr>
                      <w:rFonts w:ascii="Times New Roman" w:hAnsi="Times New Roman"/>
                      <w:szCs w:val="22"/>
                    </w:rPr>
                  </w:pPr>
                  <w:r>
                    <w:rPr>
                      <w:rFonts w:ascii="Times New Roman" w:hAnsi="Times New Roman" w:eastAsia="宋体"/>
                      <w:szCs w:val="22"/>
                    </w:rPr>
                    <w:t>市政部门统一清运处理</w:t>
                  </w:r>
                </w:p>
              </w:tc>
            </w:tr>
          </w:tbl>
          <w:p>
            <w:pPr>
              <w:pStyle w:val="52"/>
              <w:adjustRightInd w:val="0"/>
              <w:snapToGrid w:val="0"/>
              <w:ind w:firstLine="480"/>
              <w:rPr>
                <w:rFonts w:cs="Times New Roman"/>
                <w:color w:val="auto"/>
                <w:sz w:val="24"/>
              </w:rPr>
            </w:pPr>
            <w:r>
              <w:rPr>
                <w:rFonts w:cs="Times New Roman"/>
                <w:color w:val="auto"/>
                <w:sz w:val="24"/>
              </w:rPr>
              <w:t>（一）</w:t>
            </w:r>
            <w:r>
              <w:rPr>
                <w:rFonts w:hint="eastAsia" w:cs="Times New Roman"/>
                <w:color w:val="auto"/>
                <w:sz w:val="24"/>
              </w:rPr>
              <w:t>生活垃圾</w:t>
            </w:r>
          </w:p>
          <w:p>
            <w:pPr>
              <w:pStyle w:val="52"/>
              <w:adjustRightInd w:val="0"/>
              <w:snapToGrid w:val="0"/>
              <w:ind w:firstLine="480"/>
              <w:rPr>
                <w:rFonts w:cs="Times New Roman"/>
                <w:color w:val="auto"/>
                <w:sz w:val="24"/>
              </w:rPr>
            </w:pPr>
            <w:r>
              <w:rPr>
                <w:rFonts w:hint="eastAsia" w:cs="Times New Roman"/>
                <w:color w:val="auto"/>
                <w:sz w:val="24"/>
              </w:rPr>
              <w:t>项目劳动定员为8人，按生活垃圾产生量0.5kg/人·d计，生活垃圾产生量为0.4t/a。由市政部门统一清运处理。</w:t>
            </w:r>
          </w:p>
          <w:p>
            <w:pPr>
              <w:pStyle w:val="52"/>
              <w:adjustRightInd w:val="0"/>
              <w:snapToGrid w:val="0"/>
              <w:ind w:firstLine="480"/>
              <w:rPr>
                <w:rFonts w:cs="Times New Roman"/>
                <w:color w:val="auto"/>
                <w:sz w:val="24"/>
              </w:rPr>
            </w:pPr>
            <w:r>
              <w:rPr>
                <w:rFonts w:cs="Times New Roman"/>
                <w:color w:val="auto"/>
                <w:sz w:val="24"/>
              </w:rPr>
              <w:t>（</w:t>
            </w:r>
            <w:r>
              <w:rPr>
                <w:rFonts w:hint="eastAsia" w:cs="Times New Roman"/>
                <w:color w:val="auto"/>
                <w:sz w:val="24"/>
              </w:rPr>
              <w:t>二</w:t>
            </w:r>
            <w:r>
              <w:rPr>
                <w:rFonts w:cs="Times New Roman"/>
                <w:color w:val="auto"/>
                <w:sz w:val="24"/>
              </w:rPr>
              <w:t>）</w:t>
            </w:r>
            <w:r>
              <w:rPr>
                <w:rFonts w:hint="eastAsia" w:cs="Times New Roman"/>
                <w:color w:val="auto"/>
                <w:sz w:val="24"/>
              </w:rPr>
              <w:t>矸石</w:t>
            </w:r>
          </w:p>
          <w:p>
            <w:pPr>
              <w:pStyle w:val="52"/>
              <w:adjustRightInd w:val="0"/>
              <w:snapToGrid w:val="0"/>
              <w:ind w:firstLine="480"/>
              <w:rPr>
                <w:rFonts w:cs="Times New Roman"/>
                <w:color w:val="auto"/>
                <w:sz w:val="24"/>
              </w:rPr>
            </w:pPr>
            <w:r>
              <w:rPr>
                <w:rFonts w:hint="eastAsia" w:cs="Times New Roman"/>
                <w:color w:val="auto"/>
                <w:sz w:val="24"/>
              </w:rPr>
              <w:t>本项目矸石产生于洗煤工序，属于一般工业固体废物，一般固体废物代码为060-001-S04，根据本项目物料平衡表，本项目年洗选30万</w:t>
            </w:r>
            <w:r>
              <w:rPr>
                <w:rFonts w:cs="Times New Roman"/>
                <w:color w:val="auto"/>
                <w:sz w:val="24"/>
              </w:rPr>
              <w:t>t/a</w:t>
            </w:r>
            <w:r>
              <w:rPr>
                <w:rFonts w:hint="eastAsia" w:cs="Times New Roman"/>
                <w:color w:val="auto"/>
                <w:sz w:val="24"/>
              </w:rPr>
              <w:t>原煤，矸石产生量约为76000t/a。</w:t>
            </w:r>
          </w:p>
          <w:p>
            <w:pPr>
              <w:pStyle w:val="52"/>
              <w:adjustRightInd w:val="0"/>
              <w:snapToGrid w:val="0"/>
              <w:ind w:firstLine="480"/>
              <w:rPr>
                <w:rFonts w:cs="Times New Roman"/>
                <w:color w:val="auto"/>
                <w:sz w:val="24"/>
              </w:rPr>
            </w:pPr>
            <w:r>
              <w:rPr>
                <w:rFonts w:hint="eastAsia" w:cs="Times New Roman"/>
                <w:color w:val="auto"/>
                <w:sz w:val="24"/>
              </w:rPr>
              <w:t>根据《煤矸石综合利用管理办法》及《煤炭洗选工程设计规范》（GB50359-2005），煤矸石的综合利用措施包括</w:t>
            </w:r>
            <w:r>
              <w:rPr>
                <w:rFonts w:cs="Times New Roman"/>
                <w:color w:val="auto"/>
                <w:sz w:val="24"/>
              </w:rPr>
              <w:t>利用煤矸石生产建筑材料</w:t>
            </w:r>
            <w:r>
              <w:rPr>
                <w:rFonts w:hint="eastAsia" w:cs="Times New Roman"/>
                <w:color w:val="auto"/>
                <w:sz w:val="24"/>
              </w:rPr>
              <w:t>，</w:t>
            </w:r>
            <w:r>
              <w:rPr>
                <w:rFonts w:cs="Times New Roman"/>
                <w:color w:val="auto"/>
                <w:sz w:val="24"/>
              </w:rPr>
              <w:t>大力推广以煤矸石为原料的建筑材料</w:t>
            </w:r>
            <w:r>
              <w:rPr>
                <w:rFonts w:hint="eastAsia" w:cs="Times New Roman"/>
                <w:color w:val="auto"/>
                <w:sz w:val="24"/>
              </w:rPr>
              <w:t>。</w:t>
            </w:r>
          </w:p>
          <w:p>
            <w:pPr>
              <w:pStyle w:val="52"/>
              <w:adjustRightInd w:val="0"/>
              <w:snapToGrid w:val="0"/>
              <w:ind w:firstLine="480"/>
              <w:rPr>
                <w:rFonts w:cs="Times New Roman"/>
                <w:color w:val="auto"/>
                <w:sz w:val="24"/>
              </w:rPr>
            </w:pPr>
            <w:r>
              <w:rPr>
                <w:rFonts w:hint="eastAsia" w:cs="Times New Roman"/>
                <w:color w:val="auto"/>
                <w:sz w:val="24"/>
              </w:rPr>
              <w:t>本项目煤矸石在厂区全密闭矸石堆放库暂存，定期拉运外售给建筑材料生产单位回收进行综合利用，可用于生产矸石砖、空心砖、水泥掺合料等建材，替代部分黏土、砂石等天然资源，本项目建成后根据《煤矸石综合利用管理办法》及时制定并落实后续煤矸石综合利用方案。</w:t>
            </w:r>
          </w:p>
          <w:p>
            <w:pPr>
              <w:pStyle w:val="52"/>
              <w:adjustRightInd w:val="0"/>
              <w:snapToGrid w:val="0"/>
              <w:ind w:firstLine="480"/>
              <w:rPr>
                <w:rFonts w:cs="Times New Roman"/>
                <w:color w:val="auto"/>
                <w:sz w:val="24"/>
              </w:rPr>
            </w:pPr>
            <w:r>
              <w:rPr>
                <w:rFonts w:hint="eastAsia" w:cs="Times New Roman"/>
                <w:color w:val="auto"/>
                <w:sz w:val="24"/>
              </w:rPr>
              <w:t>因此本项目煤矸石依托建筑材料生产单位回收利用符合《煤矸石综合利用管理办法》及《煤炭洗选工程设计规范》（GB50359-2005）中的相关要求，为可行措施。</w:t>
            </w:r>
          </w:p>
          <w:p>
            <w:pPr>
              <w:pStyle w:val="52"/>
              <w:adjustRightInd w:val="0"/>
              <w:snapToGrid w:val="0"/>
              <w:ind w:firstLine="480"/>
              <w:rPr>
                <w:rFonts w:cs="Times New Roman"/>
                <w:color w:val="auto"/>
                <w:sz w:val="24"/>
              </w:rPr>
            </w:pPr>
            <w:r>
              <w:rPr>
                <w:rFonts w:hint="eastAsia" w:cs="Times New Roman"/>
                <w:color w:val="auto"/>
                <w:sz w:val="24"/>
              </w:rPr>
              <w:t>（三）废矿物油</w:t>
            </w:r>
          </w:p>
          <w:p>
            <w:pPr>
              <w:pStyle w:val="52"/>
              <w:adjustRightInd w:val="0"/>
              <w:snapToGrid w:val="0"/>
              <w:ind w:firstLine="480"/>
              <w:rPr>
                <w:rFonts w:cs="Times New Roman"/>
                <w:color w:val="auto"/>
                <w:sz w:val="24"/>
              </w:rPr>
            </w:pPr>
            <w:r>
              <w:rPr>
                <w:rFonts w:hint="eastAsia" w:cs="Times New Roman"/>
                <w:color w:val="auto"/>
                <w:sz w:val="24"/>
              </w:rPr>
              <w:t>设备在检修、维护过程中会产生废矿物油，废矿物油产生量约0.01t/a，废矿物油属于危险废物，危废编号HW08废矿物油与含矿物油废物，废物代码为900-249-08（其他生产、销售、使用过程中产生的废矿物油及沾染矿物油的废弃包装物），桶装收集，暂存于危废贮存点，定期委托有资质单位拉运处置。</w:t>
            </w:r>
          </w:p>
          <w:p>
            <w:pPr>
              <w:pStyle w:val="52"/>
              <w:adjustRightInd w:val="0"/>
              <w:snapToGrid w:val="0"/>
              <w:ind w:firstLine="480"/>
              <w:rPr>
                <w:rFonts w:cs="Times New Roman"/>
                <w:color w:val="auto"/>
                <w:sz w:val="24"/>
              </w:rPr>
            </w:pPr>
            <w:r>
              <w:rPr>
                <w:rFonts w:hint="eastAsia" w:cs="Times New Roman"/>
                <w:color w:val="auto"/>
                <w:sz w:val="24"/>
              </w:rPr>
              <w:t>（四）废弃含油抹布、劳保用品</w:t>
            </w:r>
          </w:p>
          <w:p>
            <w:pPr>
              <w:pStyle w:val="52"/>
              <w:adjustRightInd w:val="0"/>
              <w:snapToGrid w:val="0"/>
              <w:ind w:firstLine="480"/>
              <w:rPr>
                <w:rFonts w:cs="Times New Roman"/>
                <w:color w:val="auto"/>
                <w:sz w:val="24"/>
              </w:rPr>
            </w:pPr>
            <w:r>
              <w:rPr>
                <w:rFonts w:hint="eastAsia" w:cs="Times New Roman"/>
                <w:color w:val="auto"/>
                <w:sz w:val="24"/>
              </w:rPr>
              <w:t>本项目维修、养护设备产生的废弃含油抹布、劳保用品，产生量约0.01暂存于危险废物贮存点，定期委托有资质单位拉运处置。</w:t>
            </w:r>
          </w:p>
          <w:p>
            <w:pPr>
              <w:pStyle w:val="52"/>
              <w:adjustRightInd w:val="0"/>
              <w:snapToGrid w:val="0"/>
              <w:ind w:firstLine="480"/>
              <w:rPr>
                <w:rFonts w:cs="Times New Roman"/>
                <w:color w:val="auto"/>
                <w:sz w:val="24"/>
              </w:rPr>
            </w:pPr>
            <w:r>
              <w:rPr>
                <w:rFonts w:hint="eastAsia" w:cs="Times New Roman"/>
                <w:color w:val="auto"/>
                <w:sz w:val="24"/>
              </w:rPr>
              <w:t>（五）</w:t>
            </w:r>
            <w:r>
              <w:rPr>
                <w:rFonts w:hint="eastAsia"/>
                <w:sz w:val="24"/>
              </w:rPr>
              <w:t>沉淀池、雨水收集池沉渣</w:t>
            </w:r>
          </w:p>
          <w:p>
            <w:pPr>
              <w:pStyle w:val="52"/>
              <w:adjustRightInd w:val="0"/>
              <w:snapToGrid w:val="0"/>
              <w:ind w:firstLine="480"/>
              <w:rPr>
                <w:rFonts w:cs="Times New Roman"/>
                <w:color w:val="auto"/>
                <w:sz w:val="24"/>
              </w:rPr>
            </w:pPr>
            <w:r>
              <w:rPr>
                <w:rFonts w:hint="eastAsia"/>
                <w:sz w:val="24"/>
              </w:rPr>
              <w:t>本项目沉淀池、雨水收集池会产生沉渣，产生量约为0.5t/a。沉渣经收集后回收进行晾干，晾干后集中收集，定期外售综合利用。</w:t>
            </w:r>
          </w:p>
          <w:p>
            <w:pPr>
              <w:pStyle w:val="52"/>
              <w:ind w:firstLine="482"/>
              <w:rPr>
                <w:rFonts w:cs="Times New Roman"/>
                <w:b/>
                <w:bCs/>
                <w:color w:val="auto"/>
                <w:sz w:val="24"/>
              </w:rPr>
            </w:pPr>
            <w:r>
              <w:rPr>
                <w:rFonts w:cs="Times New Roman"/>
                <w:b/>
                <w:bCs/>
                <w:color w:val="auto"/>
                <w:sz w:val="24"/>
              </w:rPr>
              <w:t>危险废物管理要求：</w:t>
            </w:r>
          </w:p>
          <w:p>
            <w:pPr>
              <w:adjustRightInd w:val="0"/>
              <w:snapToGrid w:val="0"/>
              <w:spacing w:line="360" w:lineRule="auto"/>
              <w:ind w:firstLine="480" w:firstLineChars="200"/>
              <w:rPr>
                <w:sz w:val="24"/>
              </w:rPr>
            </w:pPr>
            <w:r>
              <w:rPr>
                <w:rFonts w:hint="eastAsia"/>
                <w:sz w:val="24"/>
              </w:rPr>
              <w:t>根据HJ1259规定，本项目属于同一生产经营场所危险废物年产生量10t以下且未纳入危险废物环境重点监管单位的单位，因此本项目危废库属于《危险废物贮存污染控制标准》（GB18597—2023）中“贮存点”类别，本项目设立危废贮存点1座，建筑面积为5m</w:t>
            </w:r>
            <w:r>
              <w:rPr>
                <w:rFonts w:hint="eastAsia"/>
                <w:sz w:val="24"/>
                <w:vertAlign w:val="superscript"/>
              </w:rPr>
              <w:t>2</w:t>
            </w:r>
            <w:r>
              <w:rPr>
                <w:rFonts w:hint="eastAsia"/>
                <w:sz w:val="24"/>
              </w:rPr>
              <w:t>。本项目危废库作为“贮存点”，建设及运营期环境管理要求如下。</w:t>
            </w:r>
          </w:p>
          <w:p>
            <w:pPr>
              <w:adjustRightInd w:val="0"/>
              <w:snapToGrid w:val="0"/>
              <w:spacing w:line="360" w:lineRule="auto"/>
              <w:ind w:firstLine="480" w:firstLineChars="200"/>
              <w:rPr>
                <w:sz w:val="24"/>
              </w:rPr>
            </w:pPr>
            <w:r>
              <w:rPr>
                <w:rFonts w:hint="eastAsia"/>
                <w:sz w:val="24"/>
              </w:rPr>
              <w:t>贮存点环境管理要求：贮存点应具有固定的区域边界，并应采取与其他区域进行隔离的措施。贮存点应采取防风、防雨、防晒和防止危险废物流失、扬散等措施。贮存点贮存的危险废物应置于容器或包装物中，不应直接散堆。贮存点应根据危险废物的形态、物理化学性质、包装形式等，采取防渗、防漏等污染防治措施或采用具有相应功能的装置。贮存点应及时清运贮存的危险废物，实时贮存量不应超过3吨。</w:t>
            </w:r>
          </w:p>
          <w:p>
            <w:pPr>
              <w:adjustRightInd w:val="0"/>
              <w:snapToGrid w:val="0"/>
              <w:spacing w:line="360" w:lineRule="auto"/>
              <w:ind w:firstLine="480" w:firstLineChars="200"/>
              <w:rPr>
                <w:sz w:val="24"/>
              </w:rPr>
            </w:pPr>
            <w:r>
              <w:rPr>
                <w:rFonts w:hint="eastAsia"/>
                <w:sz w:val="24"/>
              </w:rPr>
              <w:t>容器和包装物污染控制要求：容器和包装物材质、内衬应与盛装的危险废物相容。针对不同类别、形态、物理化学性质的危险废物，其容器和包装物应满足相应的防渗、防漏、防腐和强度等要求。硬质容器和包装物及其支护结构堆叠码放时不应有明显变形，无破损泄漏。柔性容器和包装物堆叠码放时应封口严密，无破损泄漏。使用容器盛装液态、半固态危险废物时，容器内部应留有适当的空间，以适应因温度变化等可能引发的收缩和膨胀，防止其导致容器渗漏或永久变形。容器和包装物外表面应保持清洁。</w:t>
            </w:r>
          </w:p>
          <w:p>
            <w:pPr>
              <w:adjustRightInd w:val="0"/>
              <w:snapToGrid w:val="0"/>
              <w:spacing w:line="360" w:lineRule="auto"/>
              <w:ind w:firstLine="480" w:firstLineChars="200"/>
              <w:rPr>
                <w:sz w:val="24"/>
              </w:rPr>
            </w:pPr>
            <w:r>
              <w:rPr>
                <w:rFonts w:hint="eastAsia"/>
                <w:sz w:val="24"/>
              </w:rPr>
              <w:t>根据《危险废物贮存污染控制标准》（GB18597-2023），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sz w:val="24"/>
                <w:vertAlign w:val="superscript"/>
              </w:rPr>
              <w:t>-7</w:t>
            </w:r>
            <w:r>
              <w:rPr>
                <w:rFonts w:hint="eastAsia"/>
                <w:sz w:val="24"/>
              </w:rPr>
              <w:t>cm/s），或至少2mm厚高密度聚乙烯膜等人工防渗材料（渗透系数不大于10</w:t>
            </w:r>
            <w:r>
              <w:rPr>
                <w:rFonts w:hint="eastAsia"/>
                <w:sz w:val="24"/>
                <w:vertAlign w:val="superscript"/>
              </w:rPr>
              <w:t>-10</w:t>
            </w:r>
            <w:r>
              <w:rPr>
                <w:rFonts w:hint="eastAsia"/>
                <w:sz w:val="24"/>
              </w:rPr>
              <w:t>cm/s），或其他防渗性能等效的材料。本项目选取2mm厚高密度聚乙烯膜等人工防渗材料。</w:t>
            </w:r>
          </w:p>
          <w:p>
            <w:pPr>
              <w:adjustRightInd w:val="0"/>
              <w:snapToGrid w:val="0"/>
              <w:spacing w:line="360" w:lineRule="auto"/>
              <w:ind w:firstLine="480" w:firstLineChars="200"/>
              <w:rPr>
                <w:sz w:val="24"/>
              </w:rPr>
            </w:pPr>
            <w:r>
              <w:rPr>
                <w:rFonts w:hint="eastAsia"/>
                <w:sz w:val="24"/>
              </w:rPr>
              <w:t>贮存点应根据危险废物的形态、物理化学性质、包装形式和污染物迁移途径，采取必要的防风、防晒、防雨、防漏、防渗、防腐以及其他环境污染防治措施，不应露天堆放危险废物。应具有固定的区域边界，并应采取与其他区域进行隔离的措施。应采取防风、防雨、防晒和防止危险废物流失、扬散等措施。贮存的危险废物应置于容器或包装物中，不应直接散堆。应根据危险废物的形态、物理化学性质、包装形式等，采取防渗、防漏等污染防治措施或采用具有相应功能的装置。</w:t>
            </w:r>
          </w:p>
          <w:p>
            <w:pPr>
              <w:adjustRightInd w:val="0"/>
              <w:snapToGrid w:val="0"/>
              <w:spacing w:line="360" w:lineRule="auto"/>
              <w:ind w:firstLine="480" w:firstLineChars="200"/>
              <w:rPr>
                <w:sz w:val="24"/>
              </w:rPr>
            </w:pPr>
            <w:r>
              <w:rPr>
                <w:rFonts w:hint="eastAsia"/>
                <w:sz w:val="24"/>
              </w:rPr>
              <w:t>污染防控技术要求：包装容器应达到相应的强度要求并完好无损，禁止混合贮存性质不相容而未经安全性处置的危险废物；危险废物容器和包装物以及危险废物贮存设施、场所应按规定设置危险废物识别标志；仓库式贮存设施应分开存放不相容危险废物，按危险废物的种类和特性进行分区贮存，采用防腐、防渗地面和裙脚，设置防止泄露物质扩散至外环境的拦截、导流、收集设施；贮存堆放库要防风、防雨、防晒；从事收集、贮存、利用、处置危险废物经营活动的单位，贮存危险废物不得超过一年（报经颁发危险废物经营许可证的生态环境主管部门批准或法律法规另有规定的除外）等。</w:t>
            </w:r>
          </w:p>
          <w:p>
            <w:pPr>
              <w:adjustRightInd w:val="0"/>
              <w:snapToGrid w:val="0"/>
              <w:spacing w:line="360" w:lineRule="auto"/>
              <w:ind w:firstLine="480" w:firstLineChars="200"/>
              <w:rPr>
                <w:sz w:val="24"/>
              </w:rPr>
            </w:pPr>
            <w:r>
              <w:rPr>
                <w:rFonts w:hint="eastAsia"/>
                <w:sz w:val="24"/>
              </w:rPr>
              <w:t>综上所述，采取上述措施后，本项目固体废物均可得到妥善的处理，不排放至外环境，对周围环境造成的影响较小。</w:t>
            </w:r>
          </w:p>
          <w:p>
            <w:pPr>
              <w:pStyle w:val="52"/>
              <w:adjustRightInd w:val="0"/>
              <w:snapToGrid w:val="0"/>
              <w:ind w:firstLine="482"/>
              <w:rPr>
                <w:rFonts w:cs="Times New Roman"/>
                <w:b/>
                <w:bCs/>
                <w:color w:val="auto"/>
                <w:sz w:val="24"/>
              </w:rPr>
            </w:pPr>
            <w:r>
              <w:rPr>
                <w:rFonts w:hint="eastAsia" w:cs="Times New Roman"/>
                <w:b/>
                <w:bCs/>
                <w:color w:val="auto"/>
                <w:sz w:val="24"/>
              </w:rPr>
              <w:t>五</w:t>
            </w:r>
            <w:r>
              <w:rPr>
                <w:rFonts w:cs="Times New Roman"/>
                <w:b/>
                <w:bCs/>
                <w:color w:val="auto"/>
                <w:sz w:val="24"/>
              </w:rPr>
              <w:t>、</w:t>
            </w:r>
            <w:r>
              <w:rPr>
                <w:rFonts w:hint="eastAsia" w:cs="Times New Roman"/>
                <w:b/>
                <w:bCs/>
                <w:color w:val="auto"/>
                <w:sz w:val="24"/>
              </w:rPr>
              <w:t>地下水</w:t>
            </w:r>
          </w:p>
          <w:p>
            <w:pPr>
              <w:adjustRightInd w:val="0"/>
              <w:snapToGrid w:val="0"/>
              <w:spacing w:line="360" w:lineRule="auto"/>
              <w:ind w:firstLine="480" w:firstLineChars="200"/>
              <w:rPr>
                <w:sz w:val="24"/>
              </w:rPr>
            </w:pPr>
            <w:r>
              <w:rPr>
                <w:rFonts w:hint="eastAsia"/>
                <w:sz w:val="24"/>
              </w:rPr>
              <w:t>根据《建设项目环境影响报告表编制技术指南》（污染影响类）（试行），地下水原则上不开展专项评价，涉及集中式饮用水水源和热水、矿泉水、温泉等特殊地下水资源保护区的才需要开展地下水专项评价工作。本项目不涉及上述地下水资源保护区，故只对地下水污染途径展开简单分析。</w:t>
            </w:r>
          </w:p>
          <w:p>
            <w:pPr>
              <w:adjustRightInd w:val="0"/>
              <w:snapToGrid w:val="0"/>
              <w:spacing w:line="360" w:lineRule="auto"/>
              <w:ind w:firstLine="480" w:firstLineChars="200"/>
              <w:rPr>
                <w:sz w:val="24"/>
              </w:rPr>
            </w:pPr>
            <w:r>
              <w:rPr>
                <w:rFonts w:hint="eastAsia"/>
                <w:sz w:val="24"/>
              </w:rPr>
              <w:t>（一）污染途径分析</w:t>
            </w:r>
          </w:p>
          <w:p>
            <w:pPr>
              <w:adjustRightInd w:val="0"/>
              <w:snapToGrid w:val="0"/>
              <w:spacing w:line="360" w:lineRule="auto"/>
              <w:ind w:firstLine="480" w:firstLineChars="200"/>
              <w:rPr>
                <w:sz w:val="24"/>
              </w:rPr>
            </w:pPr>
            <w:r>
              <w:rPr>
                <w:rFonts w:hint="eastAsia"/>
                <w:sz w:val="24"/>
              </w:rPr>
              <w:t>正常情况下，项目严格按照本环评要求采取防渗措施，防止废水渗漏对地下水产生污染，一般情况下不会发生废水渗漏污染地下水，对地下水不会造成污染，且厂区及厂房内地面均为硬化地面，原煤、动力煤、中煤渗漏污染地下水可能性较小；考虑到非正常情况下，建设项目的地下水防渗措施因系统老化、腐蚀等原因不能正常运行或保护效果达不到设计要求时的运行状况，导致废水“跑冒滴漏”对潜水含水层的影响。污染地下水主要污染物为项目的煤泥废水，主要特征因子为氨氮。</w:t>
            </w:r>
          </w:p>
          <w:p>
            <w:pPr>
              <w:adjustRightInd w:val="0"/>
              <w:snapToGrid w:val="0"/>
              <w:spacing w:line="360" w:lineRule="auto"/>
              <w:ind w:firstLine="480" w:firstLineChars="200"/>
              <w:rPr>
                <w:sz w:val="24"/>
              </w:rPr>
            </w:pPr>
            <w:r>
              <w:rPr>
                <w:rFonts w:hint="eastAsia"/>
                <w:sz w:val="24"/>
              </w:rPr>
              <w:t>（二）污染防治措施</w:t>
            </w:r>
          </w:p>
          <w:p>
            <w:pPr>
              <w:adjustRightInd w:val="0"/>
              <w:snapToGrid w:val="0"/>
              <w:spacing w:line="360" w:lineRule="auto"/>
              <w:ind w:firstLine="480" w:firstLineChars="200"/>
              <w:rPr>
                <w:sz w:val="24"/>
              </w:rPr>
            </w:pPr>
            <w:r>
              <w:rPr>
                <w:rFonts w:hint="eastAsia"/>
                <w:sz w:val="24"/>
              </w:rPr>
              <w:t>1、源头控制</w:t>
            </w:r>
          </w:p>
          <w:p>
            <w:pPr>
              <w:adjustRightInd w:val="0"/>
              <w:snapToGrid w:val="0"/>
              <w:spacing w:line="360" w:lineRule="auto"/>
              <w:ind w:firstLine="480" w:firstLineChars="200"/>
              <w:rPr>
                <w:sz w:val="24"/>
              </w:rPr>
            </w:pPr>
            <w:r>
              <w:rPr>
                <w:rFonts w:hint="eastAsia"/>
                <w:sz w:val="24"/>
              </w:rPr>
              <w:t>加强对污水储存设施、工艺设备、管道的维护管理，定期检查，安装监控 设备，杜绝跑、冒、滴、漏现象的发生。</w:t>
            </w:r>
          </w:p>
          <w:p>
            <w:pPr>
              <w:adjustRightInd w:val="0"/>
              <w:snapToGrid w:val="0"/>
              <w:spacing w:line="360" w:lineRule="auto"/>
              <w:ind w:firstLine="480" w:firstLineChars="200"/>
              <w:rPr>
                <w:sz w:val="24"/>
              </w:rPr>
            </w:pPr>
            <w:r>
              <w:rPr>
                <w:rFonts w:hint="eastAsia"/>
                <w:sz w:val="24"/>
              </w:rPr>
              <w:t>2、防渗漏措施</w:t>
            </w:r>
          </w:p>
          <w:p>
            <w:pPr>
              <w:adjustRightInd w:val="0"/>
              <w:snapToGrid w:val="0"/>
              <w:spacing w:line="360" w:lineRule="auto"/>
              <w:ind w:firstLine="480" w:firstLineChars="200"/>
              <w:rPr>
                <w:sz w:val="24"/>
              </w:rPr>
            </w:pPr>
            <w:r>
              <w:rPr>
                <w:rFonts w:hint="eastAsia"/>
                <w:sz w:val="24"/>
              </w:rPr>
              <w:t>根据项目污染物性质项目厂区采取“分区防渗”的原则，循环沉淀池、初期雨水收集池、煤泥暂存池、浓缩机和事故浓缩机所在位置车间地面为重点防渗区，原煤堆放库、中煤堆放库、矸石堆放库、车间地面为一般防渗区。综合用房为简单防渗区，进行一般地面硬化。</w:t>
            </w:r>
          </w:p>
          <w:p>
            <w:pPr>
              <w:adjustRightInd w:val="0"/>
              <w:snapToGrid w:val="0"/>
              <w:spacing w:line="360" w:lineRule="auto"/>
              <w:ind w:firstLine="480" w:firstLineChars="200"/>
              <w:rPr>
                <w:sz w:val="24"/>
              </w:rPr>
            </w:pPr>
            <w:r>
              <w:rPr>
                <w:sz w:val="24"/>
              </w:rPr>
              <w:t>3、管理措施</w:t>
            </w:r>
          </w:p>
          <w:p>
            <w:pPr>
              <w:adjustRightInd w:val="0"/>
              <w:snapToGrid w:val="0"/>
              <w:spacing w:line="360" w:lineRule="auto"/>
              <w:ind w:firstLine="480" w:firstLineChars="200"/>
              <w:rPr>
                <w:sz w:val="24"/>
              </w:rPr>
            </w:pPr>
            <w:r>
              <w:rPr>
                <w:sz w:val="24"/>
              </w:rPr>
              <w:t>加强管理，建立巡逻制度，定期对</w:t>
            </w:r>
            <w:r>
              <w:rPr>
                <w:rFonts w:hint="eastAsia"/>
                <w:sz w:val="24"/>
              </w:rPr>
              <w:t>堆放库</w:t>
            </w:r>
            <w:r>
              <w:rPr>
                <w:sz w:val="24"/>
              </w:rPr>
              <w:t>等地进行检查，及时发现问题，查找隐患，杜绝污染物的外排。</w:t>
            </w:r>
          </w:p>
          <w:p>
            <w:pPr>
              <w:adjustRightInd w:val="0"/>
              <w:snapToGrid w:val="0"/>
              <w:spacing w:line="360" w:lineRule="auto"/>
              <w:ind w:firstLine="480" w:firstLineChars="200"/>
              <w:rPr>
                <w:sz w:val="24"/>
              </w:rPr>
            </w:pPr>
            <w:r>
              <w:rPr>
                <w:sz w:val="24"/>
              </w:rPr>
              <w:t>4、分区防渗</w:t>
            </w:r>
          </w:p>
          <w:p>
            <w:pPr>
              <w:adjustRightInd w:val="0"/>
              <w:snapToGrid w:val="0"/>
              <w:spacing w:line="360" w:lineRule="auto"/>
              <w:ind w:firstLine="480" w:firstLineChars="200"/>
              <w:rPr>
                <w:sz w:val="24"/>
              </w:rPr>
            </w:pPr>
            <w:r>
              <w:rPr>
                <w:rFonts w:hint="eastAsia"/>
                <w:sz w:val="24"/>
              </w:rPr>
              <w:t>根据各生产单元可能泄漏至地面区域的污染物性质和生产单元的构筑方式，将场区划分为重点防渗区、一般防渗区及简单防渗区，并采取对应的措施。本项目租用闲置厂房建设本项目，现有厂房已进行简单防渗，因建设多年，在建设过程中，拟对厂房重新采取防渗措施，防渗措施如下表。</w:t>
            </w:r>
          </w:p>
          <w:p>
            <w:pPr>
              <w:pStyle w:val="46"/>
              <w:adjustRightInd/>
              <w:snapToGrid/>
              <w:rPr>
                <w:rFonts w:eastAsia="宋体" w:cs="Times New Roman"/>
                <w:bCs/>
                <w:szCs w:val="24"/>
              </w:rPr>
            </w:pPr>
            <w:r>
              <w:rPr>
                <w:rFonts w:hint="eastAsia" w:eastAsia="宋体" w:cs="Times New Roman"/>
                <w:bCs/>
                <w:szCs w:val="24"/>
              </w:rPr>
              <w:t>表4-9 项目地下水防渗分区情况表</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9"/>
              <w:gridCol w:w="981"/>
              <w:gridCol w:w="1242"/>
              <w:gridCol w:w="1583"/>
              <w:gridCol w:w="30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9" w:type="dxa"/>
                  <w:vAlign w:val="center"/>
                </w:tcPr>
                <w:p>
                  <w:pPr>
                    <w:pStyle w:val="48"/>
                    <w:rPr>
                      <w:rFonts w:ascii="Times New Roman" w:hAnsi="Times New Roman"/>
                      <w:sz w:val="21"/>
                      <w:szCs w:val="21"/>
                    </w:rPr>
                  </w:pPr>
                  <w:r>
                    <w:rPr>
                      <w:rFonts w:ascii="Times New Roman" w:hAnsi="Times New Roman"/>
                      <w:sz w:val="21"/>
                      <w:szCs w:val="21"/>
                    </w:rPr>
                    <w:t>序号</w:t>
                  </w:r>
                </w:p>
              </w:tc>
              <w:tc>
                <w:tcPr>
                  <w:tcW w:w="981" w:type="dxa"/>
                  <w:vAlign w:val="center"/>
                </w:tcPr>
                <w:p>
                  <w:pPr>
                    <w:pStyle w:val="48"/>
                    <w:rPr>
                      <w:rFonts w:ascii="Times New Roman" w:hAnsi="Times New Roman"/>
                      <w:sz w:val="21"/>
                      <w:szCs w:val="21"/>
                    </w:rPr>
                  </w:pPr>
                  <w:r>
                    <w:rPr>
                      <w:rFonts w:ascii="Times New Roman" w:hAnsi="Times New Roman"/>
                      <w:sz w:val="21"/>
                      <w:szCs w:val="21"/>
                    </w:rPr>
                    <w:t>分区类别</w:t>
                  </w:r>
                </w:p>
              </w:tc>
              <w:tc>
                <w:tcPr>
                  <w:tcW w:w="1242" w:type="dxa"/>
                  <w:vAlign w:val="center"/>
                </w:tcPr>
                <w:p>
                  <w:pPr>
                    <w:pStyle w:val="48"/>
                    <w:rPr>
                      <w:rFonts w:ascii="Times New Roman" w:hAnsi="Times New Roman"/>
                      <w:sz w:val="21"/>
                      <w:szCs w:val="21"/>
                    </w:rPr>
                  </w:pPr>
                  <w:r>
                    <w:rPr>
                      <w:rFonts w:ascii="Times New Roman" w:hAnsi="Times New Roman"/>
                      <w:sz w:val="21"/>
                      <w:szCs w:val="21"/>
                    </w:rPr>
                    <w:t>项目设施</w:t>
                  </w:r>
                </w:p>
              </w:tc>
              <w:tc>
                <w:tcPr>
                  <w:tcW w:w="1583" w:type="dxa"/>
                  <w:vAlign w:val="center"/>
                </w:tcPr>
                <w:p>
                  <w:pPr>
                    <w:pStyle w:val="48"/>
                    <w:rPr>
                      <w:rFonts w:ascii="Times New Roman" w:hAnsi="Times New Roman"/>
                      <w:sz w:val="21"/>
                      <w:szCs w:val="21"/>
                    </w:rPr>
                  </w:pPr>
                  <w:r>
                    <w:rPr>
                      <w:rFonts w:ascii="Times New Roman" w:hAnsi="Times New Roman"/>
                      <w:sz w:val="21"/>
                      <w:szCs w:val="21"/>
                    </w:rPr>
                    <w:t>防渗要求</w:t>
                  </w:r>
                </w:p>
              </w:tc>
              <w:tc>
                <w:tcPr>
                  <w:tcW w:w="3035" w:type="dxa"/>
                  <w:vAlign w:val="center"/>
                </w:tcPr>
                <w:p>
                  <w:pPr>
                    <w:pStyle w:val="48"/>
                    <w:rPr>
                      <w:rFonts w:ascii="Times New Roman" w:hAnsi="Times New Roman"/>
                      <w:sz w:val="21"/>
                      <w:szCs w:val="21"/>
                    </w:rPr>
                  </w:pPr>
                  <w:r>
                    <w:rPr>
                      <w:rFonts w:ascii="Times New Roman" w:hAnsi="Times New Roman"/>
                      <w:sz w:val="21"/>
                      <w:szCs w:val="21"/>
                    </w:rPr>
                    <w:t>采取措施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9" w:type="dxa"/>
                  <w:vAlign w:val="center"/>
                </w:tcPr>
                <w:p>
                  <w:pPr>
                    <w:pStyle w:val="48"/>
                    <w:rPr>
                      <w:rFonts w:ascii="Times New Roman" w:hAnsi="Times New Roman"/>
                      <w:sz w:val="21"/>
                      <w:szCs w:val="21"/>
                    </w:rPr>
                  </w:pPr>
                  <w:r>
                    <w:rPr>
                      <w:rFonts w:ascii="Times New Roman" w:hAnsi="Times New Roman"/>
                      <w:sz w:val="21"/>
                      <w:szCs w:val="21"/>
                    </w:rPr>
                    <w:t>1</w:t>
                  </w:r>
                </w:p>
              </w:tc>
              <w:tc>
                <w:tcPr>
                  <w:tcW w:w="981" w:type="dxa"/>
                  <w:vAlign w:val="center"/>
                </w:tcPr>
                <w:p>
                  <w:pPr>
                    <w:pStyle w:val="48"/>
                    <w:rPr>
                      <w:rFonts w:ascii="Times New Roman" w:hAnsi="Times New Roman"/>
                      <w:sz w:val="21"/>
                      <w:szCs w:val="21"/>
                    </w:rPr>
                  </w:pPr>
                  <w:r>
                    <w:rPr>
                      <w:rFonts w:ascii="Times New Roman" w:hAnsi="Times New Roman"/>
                      <w:sz w:val="21"/>
                      <w:szCs w:val="21"/>
                    </w:rPr>
                    <w:t>重点防渗区</w:t>
                  </w:r>
                </w:p>
              </w:tc>
              <w:tc>
                <w:tcPr>
                  <w:tcW w:w="1242" w:type="dxa"/>
                  <w:vAlign w:val="center"/>
                </w:tcPr>
                <w:p>
                  <w:pPr>
                    <w:pStyle w:val="48"/>
                    <w:jc w:val="both"/>
                    <w:rPr>
                      <w:rFonts w:ascii="Times New Roman" w:hAnsi="Times New Roman"/>
                      <w:sz w:val="21"/>
                      <w:szCs w:val="21"/>
                    </w:rPr>
                  </w:pPr>
                  <w:r>
                    <w:rPr>
                      <w:rFonts w:ascii="Times New Roman" w:hAnsi="Times New Roman"/>
                      <w:sz w:val="21"/>
                      <w:szCs w:val="21"/>
                    </w:rPr>
                    <w:t>循环沉淀池、初期雨水收集池、煤泥暂存池</w:t>
                  </w:r>
                  <w:r>
                    <w:rPr>
                      <w:rFonts w:hint="eastAsia" w:ascii="Times New Roman" w:hAnsi="Times New Roman"/>
                      <w:sz w:val="21"/>
                      <w:szCs w:val="21"/>
                    </w:rPr>
                    <w:t>、浓缩机和事故浓缩机所在位置车间地面、危险废物贮存点</w:t>
                  </w:r>
                </w:p>
              </w:tc>
              <w:tc>
                <w:tcPr>
                  <w:tcW w:w="1583" w:type="dxa"/>
                  <w:vAlign w:val="center"/>
                </w:tcPr>
                <w:p>
                  <w:pPr>
                    <w:pStyle w:val="48"/>
                    <w:jc w:val="both"/>
                    <w:rPr>
                      <w:rFonts w:ascii="Times New Roman" w:hAnsi="Times New Roman"/>
                      <w:sz w:val="21"/>
                      <w:szCs w:val="21"/>
                    </w:rPr>
                  </w:pPr>
                  <w:r>
                    <w:rPr>
                      <w:rFonts w:ascii="Times New Roman" w:hAnsi="Times New Roman"/>
                      <w:sz w:val="21"/>
                      <w:szCs w:val="21"/>
                    </w:rPr>
                    <w:t>防渗层至少</w:t>
                  </w:r>
                  <w:r>
                    <w:rPr>
                      <w:rFonts w:hint="eastAsia" w:ascii="Times New Roman" w:hAnsi="Times New Roman"/>
                      <w:sz w:val="21"/>
                      <w:szCs w:val="21"/>
                    </w:rPr>
                    <w:t>为</w:t>
                  </w:r>
                  <w:r>
                    <w:rPr>
                      <w:rFonts w:ascii="Times New Roman" w:hAnsi="Times New Roman"/>
                      <w:sz w:val="21"/>
                      <w:szCs w:val="21"/>
                    </w:rPr>
                    <w:t>1m厚粘土层（K≤1×10</w:t>
                  </w:r>
                  <w:r>
                    <w:rPr>
                      <w:rFonts w:ascii="Times New Roman" w:hAnsi="Times New Roman"/>
                      <w:sz w:val="21"/>
                      <w:szCs w:val="21"/>
                      <w:vertAlign w:val="superscript"/>
                    </w:rPr>
                    <w:t>-7</w:t>
                  </w:r>
                  <w:r>
                    <w:rPr>
                      <w:rFonts w:ascii="Times New Roman" w:hAnsi="Times New Roman"/>
                      <w:sz w:val="21"/>
                      <w:szCs w:val="21"/>
                    </w:rPr>
                    <w:t>cm/s），或2mm厚高密度聚乙烯，或至少2mm 厚的其他人工材料，K≤1×10</w:t>
                  </w:r>
                  <w:r>
                    <w:rPr>
                      <w:rFonts w:ascii="Times New Roman" w:hAnsi="Times New Roman"/>
                      <w:sz w:val="21"/>
                      <w:szCs w:val="21"/>
                      <w:vertAlign w:val="superscript"/>
                    </w:rPr>
                    <w:t>-10</w:t>
                  </w:r>
                  <w:r>
                    <w:rPr>
                      <w:rFonts w:ascii="Times New Roman" w:hAnsi="Times New Roman"/>
                      <w:sz w:val="21"/>
                      <w:szCs w:val="21"/>
                    </w:rPr>
                    <w:t>cm/s</w:t>
                  </w:r>
                </w:p>
              </w:tc>
              <w:tc>
                <w:tcPr>
                  <w:tcW w:w="3035" w:type="dxa"/>
                  <w:vAlign w:val="center"/>
                </w:tcPr>
                <w:p>
                  <w:pPr>
                    <w:pStyle w:val="48"/>
                    <w:jc w:val="both"/>
                    <w:rPr>
                      <w:rFonts w:ascii="Times New Roman" w:hAnsi="Times New Roman"/>
                      <w:sz w:val="21"/>
                      <w:szCs w:val="21"/>
                    </w:rPr>
                  </w:pPr>
                  <w:r>
                    <w:rPr>
                      <w:rFonts w:ascii="Times New Roman" w:hAnsi="Times New Roman"/>
                      <w:sz w:val="21"/>
                      <w:szCs w:val="21"/>
                    </w:rPr>
                    <w:t>等效粘土防渗层Mb&gt;6.0m，K&gt;1×10</w:t>
                  </w:r>
                  <w:r>
                    <w:rPr>
                      <w:rFonts w:ascii="Times New Roman" w:hAnsi="Times New Roman"/>
                      <w:sz w:val="21"/>
                      <w:szCs w:val="21"/>
                      <w:vertAlign w:val="superscript"/>
                    </w:rPr>
                    <w:t>-7</w:t>
                  </w:r>
                  <w:r>
                    <w:rPr>
                      <w:rFonts w:ascii="Times New Roman" w:hAnsi="Times New Roman"/>
                      <w:sz w:val="21"/>
                      <w:szCs w:val="21"/>
                    </w:rPr>
                    <w:t>cm/s或2mm厚高密度聚乙烯，或至少2mm厚的其他人工材料，K≤1×10</w:t>
                  </w:r>
                  <w:r>
                    <w:rPr>
                      <w:rFonts w:ascii="Times New Roman" w:hAnsi="Times New Roman"/>
                      <w:sz w:val="21"/>
                      <w:szCs w:val="21"/>
                      <w:vertAlign w:val="superscript"/>
                    </w:rPr>
                    <w:t>-10</w:t>
                  </w:r>
                  <w:r>
                    <w:rPr>
                      <w:rFonts w:ascii="Times New Roman" w:hAnsi="Times New Roman"/>
                      <w:sz w:val="21"/>
                      <w:szCs w:val="21"/>
                    </w:rPr>
                    <w:t>cm/s。</w:t>
                  </w:r>
                </w:p>
                <w:p>
                  <w:pPr>
                    <w:pStyle w:val="48"/>
                    <w:jc w:val="both"/>
                    <w:rPr>
                      <w:rFonts w:ascii="Times New Roman" w:hAnsi="Times New Roman"/>
                      <w:sz w:val="21"/>
                      <w:szCs w:val="21"/>
                    </w:rPr>
                  </w:pPr>
                  <w:r>
                    <w:rPr>
                      <w:rFonts w:hint="eastAsia" w:ascii="Times New Roman" w:hAnsi="Times New Roman"/>
                      <w:sz w:val="21"/>
                      <w:szCs w:val="21"/>
                    </w:rPr>
                    <w:t>对于危险废物贮存点，</w:t>
                  </w:r>
                  <w:r>
                    <w:rPr>
                      <w:rFonts w:ascii="Times New Roman" w:hAnsi="Times New Roman"/>
                      <w:sz w:val="21"/>
                      <w:szCs w:val="21"/>
                    </w:rPr>
                    <w:t>液态危废采用专用容器收集，下设金属托盘，并设置备用收集空桶，</w:t>
                  </w:r>
                  <w:r>
                    <w:rPr>
                      <w:rFonts w:hint="eastAsia" w:ascii="Times New Roman" w:hAnsi="Times New Roman"/>
                      <w:sz w:val="21"/>
                      <w:szCs w:val="21"/>
                    </w:rPr>
                    <w:t>危险废物贮存点</w:t>
                  </w:r>
                  <w:r>
                    <w:rPr>
                      <w:rFonts w:ascii="Times New Roman" w:hAnsi="Times New Roman"/>
                      <w:sz w:val="21"/>
                      <w:szCs w:val="21"/>
                    </w:rPr>
                    <w:t>四周设置防泄漏围堰（高度不低于15cm）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9" w:type="dxa"/>
                  <w:vAlign w:val="center"/>
                </w:tcPr>
                <w:p>
                  <w:pPr>
                    <w:pStyle w:val="48"/>
                    <w:rPr>
                      <w:rFonts w:ascii="Times New Roman" w:hAnsi="Times New Roman"/>
                      <w:sz w:val="21"/>
                      <w:szCs w:val="21"/>
                    </w:rPr>
                  </w:pPr>
                  <w:r>
                    <w:rPr>
                      <w:rFonts w:ascii="Times New Roman" w:hAnsi="Times New Roman"/>
                      <w:sz w:val="21"/>
                      <w:szCs w:val="21"/>
                    </w:rPr>
                    <w:t>2</w:t>
                  </w:r>
                </w:p>
              </w:tc>
              <w:tc>
                <w:tcPr>
                  <w:tcW w:w="981" w:type="dxa"/>
                  <w:vAlign w:val="center"/>
                </w:tcPr>
                <w:p>
                  <w:pPr>
                    <w:pStyle w:val="48"/>
                    <w:rPr>
                      <w:rFonts w:ascii="Times New Roman" w:hAnsi="Times New Roman"/>
                      <w:sz w:val="21"/>
                      <w:szCs w:val="21"/>
                    </w:rPr>
                  </w:pPr>
                  <w:r>
                    <w:rPr>
                      <w:rFonts w:ascii="Times New Roman" w:hAnsi="Times New Roman"/>
                      <w:sz w:val="21"/>
                      <w:szCs w:val="21"/>
                    </w:rPr>
                    <w:t>一般防渗区</w:t>
                  </w:r>
                </w:p>
              </w:tc>
              <w:tc>
                <w:tcPr>
                  <w:tcW w:w="1242" w:type="dxa"/>
                  <w:vAlign w:val="center"/>
                </w:tcPr>
                <w:p>
                  <w:pPr>
                    <w:pStyle w:val="48"/>
                    <w:jc w:val="both"/>
                    <w:rPr>
                      <w:rFonts w:ascii="Times New Roman" w:hAnsi="Times New Roman"/>
                      <w:sz w:val="21"/>
                      <w:szCs w:val="21"/>
                    </w:rPr>
                  </w:pPr>
                  <w:r>
                    <w:rPr>
                      <w:rFonts w:ascii="Times New Roman" w:hAnsi="Times New Roman"/>
                      <w:sz w:val="21"/>
                      <w:szCs w:val="21"/>
                    </w:rPr>
                    <w:t>原煤堆放库、中煤堆放库、矸石堆放库、生产车间地面</w:t>
                  </w:r>
                </w:p>
              </w:tc>
              <w:tc>
                <w:tcPr>
                  <w:tcW w:w="1583" w:type="dxa"/>
                  <w:vAlign w:val="center"/>
                </w:tcPr>
                <w:p>
                  <w:pPr>
                    <w:pStyle w:val="48"/>
                    <w:jc w:val="both"/>
                    <w:rPr>
                      <w:rFonts w:ascii="Times New Roman" w:hAnsi="Times New Roman"/>
                      <w:sz w:val="21"/>
                      <w:szCs w:val="21"/>
                    </w:rPr>
                  </w:pPr>
                  <w:r>
                    <w:rPr>
                      <w:rFonts w:hint="eastAsia" w:ascii="Times New Roman" w:hAnsi="Times New Roman"/>
                      <w:sz w:val="21"/>
                      <w:szCs w:val="21"/>
                    </w:rPr>
                    <w:t>采取</w:t>
                  </w:r>
                  <w:r>
                    <w:rPr>
                      <w:rFonts w:ascii="Times New Roman" w:hAnsi="Times New Roman"/>
                      <w:sz w:val="21"/>
                      <w:szCs w:val="21"/>
                    </w:rPr>
                    <w:t>等效粘土防渗层Mb&gt;1.5</w:t>
                  </w:r>
                  <w:r>
                    <w:rPr>
                      <w:rFonts w:hint="eastAsia" w:ascii="Times New Roman" w:hAnsi="Times New Roman"/>
                      <w:sz w:val="21"/>
                      <w:szCs w:val="21"/>
                    </w:rPr>
                    <w:t>m</w:t>
                  </w:r>
                  <w:r>
                    <w:rPr>
                      <w:rFonts w:ascii="Times New Roman" w:hAnsi="Times New Roman"/>
                      <w:sz w:val="21"/>
                      <w:szCs w:val="21"/>
                    </w:rPr>
                    <w:t>，K≤1×10</w:t>
                  </w:r>
                  <w:r>
                    <w:rPr>
                      <w:rFonts w:ascii="Times New Roman" w:hAnsi="Times New Roman"/>
                      <w:sz w:val="21"/>
                      <w:szCs w:val="21"/>
                      <w:vertAlign w:val="superscript"/>
                    </w:rPr>
                    <w:t>-7</w:t>
                  </w:r>
                  <w:r>
                    <w:rPr>
                      <w:rFonts w:ascii="Times New Roman" w:hAnsi="Times New Roman"/>
                      <w:sz w:val="21"/>
                      <w:szCs w:val="21"/>
                    </w:rPr>
                    <w:t>cm/s</w:t>
                  </w:r>
                </w:p>
              </w:tc>
              <w:tc>
                <w:tcPr>
                  <w:tcW w:w="3035" w:type="dxa"/>
                  <w:vAlign w:val="center"/>
                </w:tcPr>
                <w:p>
                  <w:pPr>
                    <w:pStyle w:val="48"/>
                    <w:jc w:val="both"/>
                    <w:rPr>
                      <w:rFonts w:ascii="Times New Roman" w:hAnsi="Times New Roman"/>
                      <w:sz w:val="21"/>
                      <w:szCs w:val="21"/>
                    </w:rPr>
                  </w:pPr>
                  <w:r>
                    <w:rPr>
                      <w:rFonts w:ascii="Times New Roman" w:hAnsi="Times New Roman"/>
                      <w:sz w:val="21"/>
                      <w:szCs w:val="21"/>
                    </w:rPr>
                    <w:t>底层粘土夯实，混凝土面层，防渗层 Mb&gt;1.5m，K&lt;1×10</w:t>
                  </w:r>
                  <w:r>
                    <w:rPr>
                      <w:rFonts w:ascii="Times New Roman" w:hAnsi="Times New Roman"/>
                      <w:sz w:val="21"/>
                      <w:szCs w:val="21"/>
                      <w:vertAlign w:val="superscript"/>
                    </w:rPr>
                    <w:t>-7</w:t>
                  </w:r>
                  <w:r>
                    <w:rPr>
                      <w:rFonts w:ascii="Times New Roman" w:hAnsi="Times New Roman"/>
                      <w:sz w:val="21"/>
                      <w:szCs w:val="21"/>
                    </w:rPr>
                    <w:t>cm/s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069" w:type="dxa"/>
                  <w:vAlign w:val="center"/>
                </w:tcPr>
                <w:p>
                  <w:pPr>
                    <w:pStyle w:val="48"/>
                    <w:rPr>
                      <w:rFonts w:ascii="Times New Roman" w:hAnsi="Times New Roman"/>
                      <w:sz w:val="21"/>
                      <w:szCs w:val="21"/>
                    </w:rPr>
                  </w:pPr>
                  <w:r>
                    <w:rPr>
                      <w:rFonts w:ascii="Times New Roman" w:hAnsi="Times New Roman"/>
                      <w:sz w:val="21"/>
                      <w:szCs w:val="21"/>
                    </w:rPr>
                    <w:t>3</w:t>
                  </w:r>
                </w:p>
              </w:tc>
              <w:tc>
                <w:tcPr>
                  <w:tcW w:w="981" w:type="dxa"/>
                  <w:vAlign w:val="center"/>
                </w:tcPr>
                <w:p>
                  <w:pPr>
                    <w:pStyle w:val="48"/>
                    <w:rPr>
                      <w:rFonts w:ascii="Times New Roman" w:hAnsi="Times New Roman"/>
                      <w:sz w:val="21"/>
                      <w:szCs w:val="21"/>
                    </w:rPr>
                  </w:pPr>
                  <w:r>
                    <w:rPr>
                      <w:rFonts w:ascii="Times New Roman" w:hAnsi="Times New Roman"/>
                      <w:sz w:val="21"/>
                      <w:szCs w:val="21"/>
                    </w:rPr>
                    <w:t>简单防渗区</w:t>
                  </w:r>
                </w:p>
              </w:tc>
              <w:tc>
                <w:tcPr>
                  <w:tcW w:w="1242" w:type="dxa"/>
                  <w:vAlign w:val="center"/>
                </w:tcPr>
                <w:p>
                  <w:pPr>
                    <w:pStyle w:val="48"/>
                    <w:jc w:val="both"/>
                    <w:rPr>
                      <w:rFonts w:ascii="Times New Roman" w:hAnsi="Times New Roman"/>
                      <w:sz w:val="21"/>
                      <w:szCs w:val="21"/>
                    </w:rPr>
                  </w:pPr>
                  <w:r>
                    <w:rPr>
                      <w:rFonts w:ascii="Times New Roman" w:hAnsi="Times New Roman"/>
                      <w:sz w:val="21"/>
                      <w:szCs w:val="21"/>
                    </w:rPr>
                    <w:t>仓库、办公室等其他区域</w:t>
                  </w:r>
                </w:p>
              </w:tc>
              <w:tc>
                <w:tcPr>
                  <w:tcW w:w="1583" w:type="dxa"/>
                  <w:vAlign w:val="center"/>
                </w:tcPr>
                <w:p>
                  <w:pPr>
                    <w:pStyle w:val="48"/>
                    <w:rPr>
                      <w:rFonts w:ascii="Times New Roman" w:hAnsi="Times New Roman"/>
                      <w:sz w:val="21"/>
                      <w:szCs w:val="21"/>
                    </w:rPr>
                  </w:pPr>
                  <w:r>
                    <w:rPr>
                      <w:rFonts w:ascii="Times New Roman" w:hAnsi="Times New Roman"/>
                      <w:sz w:val="21"/>
                      <w:szCs w:val="21"/>
                    </w:rPr>
                    <w:t>一般地面硬化</w:t>
                  </w:r>
                </w:p>
              </w:tc>
              <w:tc>
                <w:tcPr>
                  <w:tcW w:w="3035" w:type="dxa"/>
                  <w:vAlign w:val="center"/>
                </w:tcPr>
                <w:p>
                  <w:pPr>
                    <w:pStyle w:val="48"/>
                    <w:rPr>
                      <w:rFonts w:ascii="Times New Roman" w:hAnsi="Times New Roman"/>
                      <w:sz w:val="21"/>
                      <w:szCs w:val="21"/>
                    </w:rPr>
                  </w:pPr>
                  <w:r>
                    <w:rPr>
                      <w:rFonts w:ascii="Times New Roman" w:hAnsi="Times New Roman"/>
                      <w:sz w:val="21"/>
                      <w:szCs w:val="21"/>
                    </w:rPr>
                    <w:t>采取一般地面硬化</w:t>
                  </w:r>
                </w:p>
              </w:tc>
            </w:tr>
          </w:tbl>
          <w:p>
            <w:pPr>
              <w:adjustRightInd w:val="0"/>
              <w:snapToGrid w:val="0"/>
              <w:spacing w:line="360" w:lineRule="auto"/>
              <w:ind w:firstLine="480" w:firstLineChars="200"/>
              <w:rPr>
                <w:sz w:val="24"/>
              </w:rPr>
            </w:pPr>
            <w:r>
              <w:rPr>
                <w:rFonts w:hint="eastAsia"/>
                <w:sz w:val="24"/>
              </w:rPr>
              <w:t>5、信息公开</w:t>
            </w:r>
          </w:p>
          <w:p>
            <w:pPr>
              <w:adjustRightInd w:val="0"/>
              <w:snapToGrid w:val="0"/>
              <w:spacing w:line="360" w:lineRule="auto"/>
              <w:ind w:firstLine="480" w:firstLineChars="200"/>
              <w:rPr>
                <w:sz w:val="24"/>
              </w:rPr>
            </w:pPr>
            <w:r>
              <w:rPr>
                <w:rFonts w:hint="eastAsia"/>
                <w:sz w:val="24"/>
              </w:rPr>
              <w:t>建设单位在开展地下水跟踪监测的同时要进行地下水跟踪监测信息公开 工作，每一期的地下水跟踪监测的数据结果要以公告的形式在场区内张贴出 来，公告版应展示近3期的地下水跟踪监测结果，包括污染物的名称、监测数 值和监测日期等信息。公众参与的主体是本项目的建设单位，需要对公示的监 测数据负责。</w:t>
            </w:r>
          </w:p>
          <w:p>
            <w:pPr>
              <w:adjustRightInd w:val="0"/>
              <w:snapToGrid w:val="0"/>
              <w:spacing w:line="360" w:lineRule="auto"/>
              <w:ind w:firstLine="480" w:firstLineChars="200"/>
              <w:rPr>
                <w:sz w:val="24"/>
              </w:rPr>
            </w:pPr>
            <w:r>
              <w:rPr>
                <w:rFonts w:hint="eastAsia"/>
                <w:sz w:val="24"/>
              </w:rPr>
              <w:t>6、应急响应措施</w:t>
            </w:r>
          </w:p>
          <w:p>
            <w:pPr>
              <w:adjustRightInd w:val="0"/>
              <w:snapToGrid w:val="0"/>
              <w:spacing w:line="360" w:lineRule="auto"/>
              <w:ind w:firstLine="480" w:firstLineChars="200"/>
              <w:rPr>
                <w:sz w:val="24"/>
              </w:rPr>
            </w:pPr>
            <w:r>
              <w:rPr>
                <w:rFonts w:hint="eastAsia"/>
                <w:sz w:val="24"/>
              </w:rPr>
              <w:t>泄漏事故的发生具有隐蔽性，建设单位应认真落实每季度1次的地下水跟踪监测职责，运营期的地下水保护目标氨氮监测值不得超出《地下水质量标准》（GB/T14848-2017）中Ⅲ类标准（0.5mg/L）。如果在跟踪监测的过程中氨氮监测数据超标，则有可能说明发生泄漏。建设单位应组织开展检查工作确定是否发生漏水事故。当明确发生泄露事故时，需启动环境预警和开展应急响应。应急响应措施主要有泄漏企业停运、废水阻隔和泄漏废水回收，同时应委托具有专业资质的环境监测单位进行更全面的地下水污染跟踪监测，以便明确漏水事故的范围和程度。建设单位应将废水泄漏事故在1天之内上报给环境主管部门，在5个工作日内提供泄漏企业的初始环境报告，包括责任人的名称和电话号码，泄漏物的类型、体积和地下水污染物浓度，采取应急响应措施，同时应并委托有专业技术能力的机构进行地下水影响的修复工作。</w:t>
            </w:r>
          </w:p>
          <w:p>
            <w:pPr>
              <w:adjustRightInd w:val="0"/>
              <w:snapToGrid w:val="0"/>
              <w:spacing w:line="360" w:lineRule="auto"/>
              <w:ind w:firstLine="480" w:firstLineChars="200"/>
              <w:rPr>
                <w:sz w:val="24"/>
              </w:rPr>
            </w:pPr>
            <w:r>
              <w:rPr>
                <w:rFonts w:hint="eastAsia"/>
                <w:sz w:val="24"/>
              </w:rPr>
              <w:t>综上所述，在认真落实本评价提出的各项污染防治措施的前提下，本项目对地下水环境造成影响较小。</w:t>
            </w:r>
          </w:p>
          <w:p>
            <w:pPr>
              <w:adjustRightInd w:val="0"/>
              <w:snapToGrid w:val="0"/>
              <w:spacing w:line="360" w:lineRule="auto"/>
              <w:ind w:firstLine="480" w:firstLineChars="200"/>
              <w:rPr>
                <w:sz w:val="24"/>
              </w:rPr>
            </w:pPr>
            <w:r>
              <w:rPr>
                <w:rFonts w:hint="eastAsia"/>
                <w:sz w:val="24"/>
              </w:rPr>
              <w:t>（三）监测计划</w:t>
            </w:r>
          </w:p>
          <w:p>
            <w:pPr>
              <w:pStyle w:val="46"/>
              <w:adjustRightInd/>
              <w:snapToGrid/>
              <w:rPr>
                <w:rFonts w:eastAsia="宋体" w:cs="Times New Roman"/>
                <w:bCs/>
                <w:szCs w:val="24"/>
              </w:rPr>
            </w:pPr>
            <w:r>
              <w:rPr>
                <w:rFonts w:hint="eastAsia" w:eastAsia="宋体" w:cs="Times New Roman"/>
                <w:bCs/>
                <w:szCs w:val="24"/>
              </w:rPr>
              <w:t>表4-10 地下水环境监测计划表</w:t>
            </w:r>
          </w:p>
          <w:tbl>
            <w:tblPr>
              <w:tblStyle w:val="7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5"/>
              <w:gridCol w:w="936"/>
              <w:gridCol w:w="851"/>
              <w:gridCol w:w="850"/>
              <w:gridCol w:w="709"/>
              <w:gridCol w:w="2522"/>
              <w:gridCol w:w="593"/>
              <w:gridCol w:w="467"/>
              <w:gridCol w:w="4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8" w:hRule="atLeast"/>
              </w:trPr>
              <w:tc>
                <w:tcPr>
                  <w:tcW w:w="515" w:type="dxa"/>
                  <w:vMerge w:val="restart"/>
                  <w:vAlign w:val="center"/>
                </w:tcPr>
                <w:p>
                  <w:pPr>
                    <w:pStyle w:val="48"/>
                    <w:rPr>
                      <w:rFonts w:ascii="Times New Roman" w:hAnsi="Times New Roman"/>
                      <w:sz w:val="21"/>
                      <w:szCs w:val="21"/>
                    </w:rPr>
                  </w:pPr>
                  <w:r>
                    <w:rPr>
                      <w:rFonts w:ascii="Times New Roman" w:hAnsi="Times New Roman"/>
                      <w:sz w:val="21"/>
                      <w:szCs w:val="21"/>
                    </w:rPr>
                    <w:t>点位</w:t>
                  </w:r>
                </w:p>
              </w:tc>
              <w:tc>
                <w:tcPr>
                  <w:tcW w:w="1787" w:type="dxa"/>
                  <w:gridSpan w:val="2"/>
                  <w:vAlign w:val="center"/>
                </w:tcPr>
                <w:p>
                  <w:pPr>
                    <w:pStyle w:val="48"/>
                    <w:rPr>
                      <w:rFonts w:ascii="Calibri" w:hAnsi="Calibri"/>
                      <w:sz w:val="21"/>
                      <w:szCs w:val="21"/>
                    </w:rPr>
                  </w:pPr>
                  <w:r>
                    <w:rPr>
                      <w:rFonts w:hint="eastAsia" w:ascii="Calibri" w:hAnsi="Calibri"/>
                      <w:sz w:val="21"/>
                      <w:szCs w:val="21"/>
                    </w:rPr>
                    <w:t>监测点位位置坐标</w:t>
                  </w:r>
                </w:p>
              </w:tc>
              <w:tc>
                <w:tcPr>
                  <w:tcW w:w="850" w:type="dxa"/>
                  <w:vMerge w:val="restart"/>
                  <w:vAlign w:val="center"/>
                </w:tcPr>
                <w:p>
                  <w:pPr>
                    <w:pStyle w:val="48"/>
                    <w:rPr>
                      <w:rFonts w:ascii="Calibri" w:hAnsi="Calibri"/>
                      <w:sz w:val="21"/>
                      <w:szCs w:val="21"/>
                    </w:rPr>
                  </w:pPr>
                  <w:r>
                    <w:rPr>
                      <w:rFonts w:hint="eastAsia" w:ascii="Calibri" w:hAnsi="Calibri"/>
                      <w:sz w:val="21"/>
                      <w:szCs w:val="21"/>
                    </w:rPr>
                    <w:t>相对厂区方位</w:t>
                  </w:r>
                </w:p>
              </w:tc>
              <w:tc>
                <w:tcPr>
                  <w:tcW w:w="709" w:type="dxa"/>
                  <w:vMerge w:val="restart"/>
                  <w:vAlign w:val="center"/>
                </w:tcPr>
                <w:p>
                  <w:pPr>
                    <w:pStyle w:val="48"/>
                    <w:rPr>
                      <w:rFonts w:ascii="Times New Roman" w:hAnsi="Times New Roman"/>
                      <w:sz w:val="21"/>
                      <w:szCs w:val="21"/>
                    </w:rPr>
                  </w:pPr>
                  <w:r>
                    <w:rPr>
                      <w:rFonts w:ascii="Times New Roman" w:hAnsi="Times New Roman"/>
                      <w:sz w:val="21"/>
                      <w:szCs w:val="21"/>
                    </w:rPr>
                    <w:t>功能</w:t>
                  </w:r>
                </w:p>
              </w:tc>
              <w:tc>
                <w:tcPr>
                  <w:tcW w:w="2522" w:type="dxa"/>
                  <w:vMerge w:val="restart"/>
                  <w:vAlign w:val="center"/>
                </w:tcPr>
                <w:p>
                  <w:pPr>
                    <w:pStyle w:val="48"/>
                    <w:rPr>
                      <w:rFonts w:ascii="Times New Roman" w:hAnsi="Times New Roman"/>
                      <w:sz w:val="21"/>
                      <w:szCs w:val="21"/>
                    </w:rPr>
                  </w:pPr>
                  <w:r>
                    <w:rPr>
                      <w:rFonts w:ascii="Times New Roman" w:hAnsi="Times New Roman"/>
                      <w:sz w:val="21"/>
                      <w:szCs w:val="21"/>
                    </w:rPr>
                    <w:t>监测因子</w:t>
                  </w:r>
                </w:p>
              </w:tc>
              <w:tc>
                <w:tcPr>
                  <w:tcW w:w="593" w:type="dxa"/>
                  <w:vMerge w:val="restart"/>
                  <w:vAlign w:val="center"/>
                </w:tcPr>
                <w:p>
                  <w:pPr>
                    <w:pStyle w:val="48"/>
                    <w:rPr>
                      <w:rFonts w:ascii="Times New Roman" w:hAnsi="Times New Roman"/>
                      <w:sz w:val="21"/>
                      <w:szCs w:val="21"/>
                    </w:rPr>
                  </w:pPr>
                  <w:r>
                    <w:rPr>
                      <w:rFonts w:ascii="Times New Roman" w:hAnsi="Times New Roman"/>
                      <w:sz w:val="21"/>
                      <w:szCs w:val="21"/>
                    </w:rPr>
                    <w:t>井深</w:t>
                  </w:r>
                </w:p>
              </w:tc>
              <w:tc>
                <w:tcPr>
                  <w:tcW w:w="467" w:type="dxa"/>
                  <w:vMerge w:val="restart"/>
                  <w:vAlign w:val="center"/>
                </w:tcPr>
                <w:p>
                  <w:pPr>
                    <w:pStyle w:val="48"/>
                    <w:rPr>
                      <w:rFonts w:ascii="Times New Roman" w:hAnsi="Times New Roman"/>
                      <w:sz w:val="21"/>
                      <w:szCs w:val="21"/>
                    </w:rPr>
                  </w:pPr>
                  <w:r>
                    <w:rPr>
                      <w:rFonts w:ascii="Times New Roman" w:hAnsi="Times New Roman"/>
                      <w:sz w:val="21"/>
                      <w:szCs w:val="21"/>
                    </w:rPr>
                    <w:t>监测层位</w:t>
                  </w:r>
                </w:p>
              </w:tc>
              <w:tc>
                <w:tcPr>
                  <w:tcW w:w="467" w:type="dxa"/>
                  <w:vMerge w:val="restart"/>
                  <w:vAlign w:val="center"/>
                </w:tcPr>
                <w:p>
                  <w:pPr>
                    <w:pStyle w:val="48"/>
                    <w:rPr>
                      <w:rFonts w:ascii="Times New Roman" w:hAnsi="Times New Roman"/>
                      <w:sz w:val="21"/>
                      <w:szCs w:val="21"/>
                    </w:rPr>
                  </w:pPr>
                  <w:r>
                    <w:rPr>
                      <w:rFonts w:ascii="Times New Roman" w:hAnsi="Times New Roman"/>
                      <w:sz w:val="21"/>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515" w:type="dxa"/>
                  <w:vMerge w:val="continue"/>
                  <w:vAlign w:val="center"/>
                </w:tcPr>
                <w:p>
                  <w:pPr>
                    <w:pStyle w:val="48"/>
                    <w:rPr>
                      <w:rFonts w:ascii="Calibri" w:hAnsi="Calibri"/>
                      <w:sz w:val="21"/>
                      <w:szCs w:val="21"/>
                    </w:rPr>
                  </w:pPr>
                </w:p>
              </w:tc>
              <w:tc>
                <w:tcPr>
                  <w:tcW w:w="936" w:type="dxa"/>
                  <w:vAlign w:val="center"/>
                </w:tcPr>
                <w:p>
                  <w:pPr>
                    <w:pStyle w:val="48"/>
                    <w:rPr>
                      <w:rFonts w:ascii="Times New Roman" w:hAnsi="Times New Roman"/>
                      <w:sz w:val="21"/>
                      <w:szCs w:val="21"/>
                    </w:rPr>
                  </w:pPr>
                  <w:r>
                    <w:rPr>
                      <w:rFonts w:hint="eastAsia" w:ascii="Times New Roman" w:hAnsi="Times New Roman"/>
                      <w:sz w:val="21"/>
                      <w:szCs w:val="21"/>
                    </w:rPr>
                    <w:t>X</w:t>
                  </w:r>
                </w:p>
              </w:tc>
              <w:tc>
                <w:tcPr>
                  <w:tcW w:w="851" w:type="dxa"/>
                  <w:vAlign w:val="center"/>
                </w:tcPr>
                <w:p>
                  <w:pPr>
                    <w:pStyle w:val="48"/>
                    <w:rPr>
                      <w:rFonts w:ascii="Times New Roman" w:hAnsi="Times New Roman"/>
                      <w:sz w:val="21"/>
                      <w:szCs w:val="21"/>
                    </w:rPr>
                  </w:pPr>
                  <w:r>
                    <w:rPr>
                      <w:rFonts w:hint="eastAsia" w:ascii="Times New Roman" w:hAnsi="Times New Roman"/>
                      <w:sz w:val="21"/>
                      <w:szCs w:val="21"/>
                    </w:rPr>
                    <w:t>Y</w:t>
                  </w:r>
                </w:p>
              </w:tc>
              <w:tc>
                <w:tcPr>
                  <w:tcW w:w="850" w:type="dxa"/>
                  <w:vMerge w:val="continue"/>
                  <w:vAlign w:val="center"/>
                </w:tcPr>
                <w:p>
                  <w:pPr>
                    <w:pStyle w:val="48"/>
                    <w:rPr>
                      <w:rFonts w:ascii="Calibri" w:hAnsi="Calibri"/>
                      <w:sz w:val="21"/>
                      <w:szCs w:val="21"/>
                    </w:rPr>
                  </w:pPr>
                </w:p>
              </w:tc>
              <w:tc>
                <w:tcPr>
                  <w:tcW w:w="709" w:type="dxa"/>
                  <w:vMerge w:val="continue"/>
                  <w:vAlign w:val="center"/>
                </w:tcPr>
                <w:p>
                  <w:pPr>
                    <w:pStyle w:val="48"/>
                    <w:rPr>
                      <w:rFonts w:ascii="Calibri" w:hAnsi="Calibri"/>
                      <w:sz w:val="21"/>
                      <w:szCs w:val="21"/>
                    </w:rPr>
                  </w:pPr>
                </w:p>
              </w:tc>
              <w:tc>
                <w:tcPr>
                  <w:tcW w:w="2522" w:type="dxa"/>
                  <w:vMerge w:val="continue"/>
                  <w:vAlign w:val="center"/>
                </w:tcPr>
                <w:p>
                  <w:pPr>
                    <w:pStyle w:val="48"/>
                    <w:rPr>
                      <w:rFonts w:ascii="Calibri" w:hAnsi="Calibri"/>
                      <w:sz w:val="21"/>
                      <w:szCs w:val="21"/>
                    </w:rPr>
                  </w:pPr>
                </w:p>
              </w:tc>
              <w:tc>
                <w:tcPr>
                  <w:tcW w:w="593" w:type="dxa"/>
                  <w:vMerge w:val="continue"/>
                  <w:vAlign w:val="center"/>
                </w:tcPr>
                <w:p>
                  <w:pPr>
                    <w:pStyle w:val="48"/>
                    <w:rPr>
                      <w:rFonts w:ascii="Calibri" w:hAnsi="Calibri"/>
                      <w:sz w:val="21"/>
                      <w:szCs w:val="21"/>
                    </w:rPr>
                  </w:pPr>
                </w:p>
              </w:tc>
              <w:tc>
                <w:tcPr>
                  <w:tcW w:w="467" w:type="dxa"/>
                  <w:vMerge w:val="continue"/>
                  <w:vAlign w:val="center"/>
                </w:tcPr>
                <w:p>
                  <w:pPr>
                    <w:pStyle w:val="48"/>
                    <w:rPr>
                      <w:rFonts w:ascii="Calibri" w:hAnsi="Calibri"/>
                      <w:sz w:val="21"/>
                      <w:szCs w:val="21"/>
                    </w:rPr>
                  </w:pPr>
                </w:p>
              </w:tc>
              <w:tc>
                <w:tcPr>
                  <w:tcW w:w="467" w:type="dxa"/>
                  <w:vMerge w:val="continue"/>
                  <w:vAlign w:val="center"/>
                </w:tcPr>
                <w:p>
                  <w:pPr>
                    <w:pStyle w:val="48"/>
                    <w:rPr>
                      <w:rFonts w:ascii="Calibri" w:hAnsi="Calibri"/>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5" w:type="dxa"/>
                  <w:vAlign w:val="center"/>
                </w:tcPr>
                <w:p>
                  <w:pPr>
                    <w:pStyle w:val="48"/>
                    <w:rPr>
                      <w:rFonts w:ascii="Times New Roman" w:hAnsi="Times New Roman"/>
                      <w:sz w:val="21"/>
                      <w:szCs w:val="21"/>
                    </w:rPr>
                  </w:pPr>
                  <w:r>
                    <w:rPr>
                      <w:rFonts w:ascii="Times New Roman" w:hAnsi="Times New Roman"/>
                      <w:sz w:val="21"/>
                      <w:szCs w:val="21"/>
                    </w:rPr>
                    <w:t>跟踪监测井</w:t>
                  </w:r>
                </w:p>
              </w:tc>
              <w:tc>
                <w:tcPr>
                  <w:tcW w:w="936" w:type="dxa"/>
                  <w:vAlign w:val="center"/>
                </w:tcPr>
                <w:p>
                  <w:pPr>
                    <w:pStyle w:val="48"/>
                    <w:rPr>
                      <w:rFonts w:ascii="Times New Roman" w:hAnsi="Times New Roman"/>
                      <w:sz w:val="21"/>
                      <w:szCs w:val="21"/>
                    </w:rPr>
                  </w:pPr>
                  <w:r>
                    <w:rPr>
                      <w:rFonts w:ascii="Times New Roman" w:hAnsi="Times New Roman"/>
                      <w:sz w:val="21"/>
                      <w:szCs w:val="21"/>
                    </w:rPr>
                    <w:t>130.26081824</w:t>
                  </w:r>
                </w:p>
              </w:tc>
              <w:tc>
                <w:tcPr>
                  <w:tcW w:w="851" w:type="dxa"/>
                  <w:vAlign w:val="center"/>
                </w:tcPr>
                <w:p>
                  <w:pPr>
                    <w:pStyle w:val="48"/>
                    <w:rPr>
                      <w:rFonts w:ascii="Times New Roman" w:hAnsi="Times New Roman"/>
                      <w:sz w:val="21"/>
                      <w:szCs w:val="21"/>
                    </w:rPr>
                  </w:pPr>
                  <w:r>
                    <w:rPr>
                      <w:rFonts w:ascii="Times New Roman" w:hAnsi="Times New Roman"/>
                      <w:sz w:val="21"/>
                      <w:szCs w:val="21"/>
                    </w:rPr>
                    <w:t>47.18690658</w:t>
                  </w:r>
                </w:p>
              </w:tc>
              <w:tc>
                <w:tcPr>
                  <w:tcW w:w="850" w:type="dxa"/>
                  <w:vAlign w:val="center"/>
                </w:tcPr>
                <w:p>
                  <w:pPr>
                    <w:pStyle w:val="48"/>
                    <w:rPr>
                      <w:rFonts w:ascii="Calibri" w:hAnsi="Calibri"/>
                      <w:sz w:val="21"/>
                      <w:szCs w:val="21"/>
                    </w:rPr>
                  </w:pPr>
                  <w:r>
                    <w:rPr>
                      <w:rFonts w:hint="eastAsia" w:ascii="Calibri" w:hAnsi="Calibri"/>
                      <w:sz w:val="21"/>
                      <w:szCs w:val="21"/>
                    </w:rPr>
                    <w:t>南侧</w:t>
                  </w:r>
                </w:p>
              </w:tc>
              <w:tc>
                <w:tcPr>
                  <w:tcW w:w="709" w:type="dxa"/>
                  <w:vAlign w:val="center"/>
                </w:tcPr>
                <w:p>
                  <w:pPr>
                    <w:pStyle w:val="48"/>
                    <w:rPr>
                      <w:rFonts w:ascii="Times New Roman" w:hAnsi="Times New Roman"/>
                      <w:sz w:val="21"/>
                      <w:szCs w:val="21"/>
                    </w:rPr>
                  </w:pPr>
                  <w:r>
                    <w:rPr>
                      <w:rFonts w:ascii="Times New Roman" w:hAnsi="Times New Roman"/>
                      <w:sz w:val="21"/>
                      <w:szCs w:val="21"/>
                    </w:rPr>
                    <w:t>跟踪监测污染物因子</w:t>
                  </w:r>
                </w:p>
              </w:tc>
              <w:tc>
                <w:tcPr>
                  <w:tcW w:w="2522" w:type="dxa"/>
                  <w:vAlign w:val="center"/>
                </w:tcPr>
                <w:p>
                  <w:pPr>
                    <w:pStyle w:val="48"/>
                    <w:jc w:val="both"/>
                    <w:rPr>
                      <w:rFonts w:ascii="Times New Roman" w:hAnsi="Times New Roman"/>
                      <w:sz w:val="21"/>
                      <w:szCs w:val="21"/>
                    </w:rPr>
                  </w:pPr>
                  <w:r>
                    <w:rPr>
                      <w:rFonts w:ascii="Times New Roman" w:hAnsi="Times New Roman"/>
                      <w:sz w:val="21"/>
                      <w:szCs w:val="21"/>
                    </w:rPr>
                    <w:t>PH、氨氮、硝酸盐、亚硝酸盐、总硬度、耗氧量（以COD</w:t>
                  </w:r>
                  <w:r>
                    <w:rPr>
                      <w:rFonts w:ascii="Times New Roman" w:hAnsi="Times New Roman"/>
                      <w:sz w:val="21"/>
                      <w:szCs w:val="21"/>
                      <w:vertAlign w:val="subscript"/>
                    </w:rPr>
                    <w:t>Mn</w:t>
                  </w:r>
                  <w:r>
                    <w:rPr>
                      <w:rFonts w:ascii="Times New Roman" w:hAnsi="Times New Roman"/>
                      <w:sz w:val="21"/>
                      <w:szCs w:val="21"/>
                    </w:rPr>
                    <w:t>计）、溶解性总固体、铁、锰、铅、六价铬、氯化物、硫酸盐、细菌总数、总大肠菌群、挥发性酚类、氰化物、砷、汞、氟、镉</w:t>
                  </w:r>
                </w:p>
              </w:tc>
              <w:tc>
                <w:tcPr>
                  <w:tcW w:w="593" w:type="dxa"/>
                  <w:vAlign w:val="center"/>
                </w:tcPr>
                <w:p>
                  <w:pPr>
                    <w:pStyle w:val="48"/>
                    <w:rPr>
                      <w:rFonts w:ascii="Times New Roman" w:hAnsi="Times New Roman"/>
                      <w:sz w:val="21"/>
                      <w:szCs w:val="21"/>
                    </w:rPr>
                  </w:pPr>
                  <w:r>
                    <w:rPr>
                      <w:rFonts w:ascii="Times New Roman" w:hAnsi="Times New Roman"/>
                      <w:sz w:val="21"/>
                      <w:szCs w:val="21"/>
                    </w:rPr>
                    <w:t>15m</w:t>
                  </w:r>
                </w:p>
              </w:tc>
              <w:tc>
                <w:tcPr>
                  <w:tcW w:w="467" w:type="dxa"/>
                  <w:vAlign w:val="center"/>
                </w:tcPr>
                <w:p>
                  <w:pPr>
                    <w:pStyle w:val="48"/>
                    <w:rPr>
                      <w:rFonts w:ascii="Times New Roman" w:hAnsi="Times New Roman"/>
                      <w:sz w:val="21"/>
                      <w:szCs w:val="21"/>
                    </w:rPr>
                  </w:pPr>
                  <w:r>
                    <w:rPr>
                      <w:rFonts w:ascii="Times New Roman" w:hAnsi="Times New Roman"/>
                      <w:sz w:val="21"/>
                      <w:szCs w:val="21"/>
                    </w:rPr>
                    <w:t>潜水</w:t>
                  </w:r>
                </w:p>
              </w:tc>
              <w:tc>
                <w:tcPr>
                  <w:tcW w:w="467" w:type="dxa"/>
                  <w:vAlign w:val="center"/>
                </w:tcPr>
                <w:p>
                  <w:pPr>
                    <w:pStyle w:val="48"/>
                    <w:rPr>
                      <w:rFonts w:ascii="Times New Roman" w:hAnsi="Times New Roman"/>
                      <w:sz w:val="21"/>
                      <w:szCs w:val="21"/>
                    </w:rPr>
                  </w:pPr>
                  <w:r>
                    <w:rPr>
                      <w:rFonts w:ascii="Times New Roman" w:hAnsi="Times New Roman"/>
                      <w:sz w:val="21"/>
                      <w:szCs w:val="21"/>
                    </w:rPr>
                    <w:t>1次/季度</w:t>
                  </w:r>
                </w:p>
              </w:tc>
            </w:tr>
          </w:tbl>
          <w:p>
            <w:pPr>
              <w:pStyle w:val="52"/>
              <w:adjustRightInd w:val="0"/>
              <w:snapToGrid w:val="0"/>
              <w:ind w:firstLine="482"/>
              <w:rPr>
                <w:rFonts w:cs="Times New Roman"/>
                <w:b/>
                <w:bCs/>
                <w:color w:val="auto"/>
                <w:sz w:val="24"/>
              </w:rPr>
            </w:pPr>
            <w:r>
              <w:rPr>
                <w:rFonts w:hint="eastAsia" w:cs="Times New Roman"/>
                <w:b/>
                <w:bCs/>
                <w:color w:val="auto"/>
                <w:sz w:val="24"/>
              </w:rPr>
              <w:t>六、土壤</w:t>
            </w:r>
          </w:p>
          <w:p>
            <w:pPr>
              <w:adjustRightInd w:val="0"/>
              <w:snapToGrid w:val="0"/>
              <w:spacing w:line="360" w:lineRule="auto"/>
              <w:ind w:firstLine="480" w:firstLineChars="200"/>
              <w:rPr>
                <w:sz w:val="24"/>
              </w:rPr>
            </w:pPr>
            <w:r>
              <w:rPr>
                <w:sz w:val="24"/>
              </w:rPr>
              <w:t>根据《建设项目环境影响报告表编制技术指南》（污染影响类）（试行），土壤不开展专项评价，本项目产生的污染物不对土壤产生重大影响，故不开展土壤环境影响评价，只对其进行简单分析。</w:t>
            </w:r>
          </w:p>
          <w:p>
            <w:pPr>
              <w:adjustRightInd w:val="0"/>
              <w:snapToGrid w:val="0"/>
              <w:spacing w:line="360" w:lineRule="auto"/>
              <w:ind w:firstLine="480" w:firstLineChars="200"/>
              <w:rPr>
                <w:sz w:val="24"/>
              </w:rPr>
            </w:pPr>
            <w:r>
              <w:rPr>
                <w:sz w:val="24"/>
              </w:rPr>
              <w:t>本项目不涉及有毒有害物质危险废物，在生产运行中无生产废水排放，生活污水排入防渗旱厕，定期清掏，外运堆肥，不外排。生产废水经处理后全部回用不外排的情况下，不会影响区域水体环境。对土壤污染造成污染源主要为</w:t>
            </w:r>
            <w:r>
              <w:rPr>
                <w:rFonts w:hint="eastAsia"/>
                <w:sz w:val="24"/>
              </w:rPr>
              <w:t>污水泄露。</w:t>
            </w:r>
            <w:r>
              <w:rPr>
                <w:sz w:val="24"/>
              </w:rPr>
              <w:t>如不采取合理的保护措施，则存在一定的土壤污染风险，因此建设单位必须加强对防渗池的环境保护工作。</w:t>
            </w:r>
          </w:p>
          <w:p>
            <w:pPr>
              <w:adjustRightInd w:val="0"/>
              <w:snapToGrid w:val="0"/>
              <w:spacing w:line="360" w:lineRule="auto"/>
              <w:ind w:firstLine="480" w:firstLineChars="200"/>
              <w:rPr>
                <w:sz w:val="24"/>
              </w:rPr>
            </w:pPr>
            <w:r>
              <w:rPr>
                <w:sz w:val="24"/>
              </w:rPr>
              <w:t>本项目对各工段的粉尘排放要求采取严格的防治措施后，实际污染物排放量较小，因此预计对农作物的质量和产量的影响仍将维持在原有水平。</w:t>
            </w:r>
          </w:p>
          <w:p>
            <w:pPr>
              <w:adjustRightInd w:val="0"/>
              <w:snapToGrid w:val="0"/>
              <w:spacing w:line="360" w:lineRule="auto"/>
              <w:ind w:firstLine="480" w:firstLineChars="200"/>
              <w:rPr>
                <w:sz w:val="24"/>
              </w:rPr>
            </w:pPr>
            <w:r>
              <w:rPr>
                <w:sz w:val="24"/>
              </w:rPr>
              <w:t>本项目应保证其环保治理设施正常运转，尽可能避免对区域土壤环境产生影响。为防止事故状态对土壤的污染，厂区应采取如下措施：</w:t>
            </w:r>
          </w:p>
          <w:p>
            <w:pPr>
              <w:adjustRightInd w:val="0"/>
              <w:snapToGrid w:val="0"/>
              <w:spacing w:line="360" w:lineRule="auto"/>
              <w:ind w:firstLine="480" w:firstLineChars="200"/>
              <w:rPr>
                <w:sz w:val="24"/>
              </w:rPr>
            </w:pPr>
            <w:r>
              <w:rPr>
                <w:sz w:val="24"/>
              </w:rPr>
              <w:t>1、控制本项目“三废”的排放。大力推广闭路循环、清洁工艺，以减少污染物质；控制污染物排放的数量和浓度，使之符合排放标准和总量要求。</w:t>
            </w:r>
          </w:p>
          <w:p>
            <w:pPr>
              <w:adjustRightInd w:val="0"/>
              <w:snapToGrid w:val="0"/>
              <w:spacing w:line="360" w:lineRule="auto"/>
              <w:ind w:firstLine="480" w:firstLineChars="200"/>
              <w:rPr>
                <w:sz w:val="24"/>
              </w:rPr>
            </w:pPr>
            <w:r>
              <w:rPr>
                <w:sz w:val="24"/>
              </w:rPr>
              <w:t>2、为了防止项目对当地的土壤产生不利影响，建设单位采取防渗措施，具体如下：</w:t>
            </w:r>
            <w:r>
              <w:rPr>
                <w:rFonts w:hint="eastAsia"/>
                <w:sz w:val="24"/>
              </w:rPr>
              <w:t>项目厂区采取“分区防渗”的原则，循环沉淀池、初期雨水收集池、煤泥暂存池、浓缩机和事故浓缩机所在位置车间地面为重点防渗区，原煤堆放库、中煤堆放库、矸石堆放库、车间地面为一般防渗区，综合用房为简单防渗区，进行一般地面硬化。</w:t>
            </w:r>
          </w:p>
          <w:p>
            <w:pPr>
              <w:adjustRightInd w:val="0"/>
              <w:snapToGrid w:val="0"/>
              <w:spacing w:line="360" w:lineRule="auto"/>
              <w:ind w:firstLine="480" w:firstLineChars="200"/>
              <w:rPr>
                <w:sz w:val="24"/>
              </w:rPr>
            </w:pPr>
            <w:r>
              <w:rPr>
                <w:sz w:val="24"/>
              </w:rPr>
              <w:t>3、加强占地周围的绿化，种植具有较强吸附能力的植物为主。</w:t>
            </w:r>
          </w:p>
          <w:p>
            <w:pPr>
              <w:adjustRightInd w:val="0"/>
              <w:snapToGrid w:val="0"/>
              <w:spacing w:line="360" w:lineRule="auto"/>
              <w:ind w:firstLine="480" w:firstLineChars="200"/>
              <w:rPr>
                <w:sz w:val="24"/>
              </w:rPr>
            </w:pPr>
            <w:r>
              <w:rPr>
                <w:sz w:val="24"/>
              </w:rPr>
              <w:t>4、为进一步减少企业生产过程中对区域土壤环境的影响，提出以下建议：</w:t>
            </w:r>
          </w:p>
          <w:p>
            <w:pPr>
              <w:adjustRightInd w:val="0"/>
              <w:snapToGrid w:val="0"/>
              <w:spacing w:line="360" w:lineRule="auto"/>
              <w:ind w:firstLine="480" w:firstLineChars="200"/>
              <w:rPr>
                <w:sz w:val="24"/>
              </w:rPr>
            </w:pPr>
            <w:r>
              <w:rPr>
                <w:rFonts w:hint="eastAsia" w:ascii="宋体" w:hAnsi="宋体" w:cs="宋体"/>
                <w:sz w:val="24"/>
              </w:rPr>
              <w:t>①</w:t>
            </w:r>
            <w:r>
              <w:rPr>
                <w:sz w:val="24"/>
              </w:rPr>
              <w:t>健全环境管理制度</w:t>
            </w:r>
          </w:p>
          <w:p>
            <w:pPr>
              <w:adjustRightInd w:val="0"/>
              <w:snapToGrid w:val="0"/>
              <w:spacing w:line="360" w:lineRule="auto"/>
              <w:ind w:firstLine="480" w:firstLineChars="200"/>
              <w:rPr>
                <w:sz w:val="24"/>
              </w:rPr>
            </w:pPr>
            <w:r>
              <w:rPr>
                <w:sz w:val="24"/>
              </w:rPr>
              <w:t>加强污染防治工作，保证设施正常运转，同时强化风险防范意识。如遇到环保设施不能正常运转，企业应立即停产检修。</w:t>
            </w:r>
          </w:p>
          <w:p>
            <w:pPr>
              <w:adjustRightInd w:val="0"/>
              <w:snapToGrid w:val="0"/>
              <w:spacing w:line="360" w:lineRule="auto"/>
              <w:ind w:firstLine="480" w:firstLineChars="200"/>
              <w:rPr>
                <w:sz w:val="24"/>
              </w:rPr>
            </w:pPr>
            <w:r>
              <w:rPr>
                <w:rFonts w:hint="eastAsia" w:ascii="宋体" w:hAnsi="宋体" w:cs="宋体"/>
                <w:sz w:val="24"/>
              </w:rPr>
              <w:t>②</w:t>
            </w:r>
            <w:r>
              <w:rPr>
                <w:sz w:val="24"/>
              </w:rPr>
              <w:t>定期进行环境监测</w:t>
            </w:r>
          </w:p>
          <w:p>
            <w:pPr>
              <w:adjustRightInd w:val="0"/>
              <w:snapToGrid w:val="0"/>
              <w:spacing w:line="360" w:lineRule="auto"/>
              <w:ind w:firstLine="480" w:firstLineChars="200"/>
              <w:rPr>
                <w:sz w:val="24"/>
              </w:rPr>
            </w:pPr>
            <w:r>
              <w:rPr>
                <w:sz w:val="24"/>
              </w:rPr>
              <w:t>建设单位应在环保局的协助下定期对周边环境敏感区域中的土壤进行特征污染物的监测，掌握区域污染变化趋势。加强厂区及周围的绿化，合理配置指示性植物</w:t>
            </w:r>
            <w:r>
              <w:rPr>
                <w:rFonts w:hint="eastAsia"/>
                <w:sz w:val="24"/>
              </w:rPr>
              <w:t>。</w:t>
            </w:r>
          </w:p>
          <w:p>
            <w:pPr>
              <w:adjustRightInd w:val="0"/>
              <w:snapToGrid w:val="0"/>
              <w:spacing w:line="360" w:lineRule="auto"/>
              <w:ind w:firstLine="481" w:firstLineChars="200"/>
              <w:rPr>
                <w:b/>
                <w:bCs/>
                <w:sz w:val="24"/>
              </w:rPr>
            </w:pPr>
            <w:r>
              <w:rPr>
                <w:rFonts w:hint="eastAsia"/>
                <w:b/>
                <w:bCs/>
                <w:sz w:val="24"/>
              </w:rPr>
              <w:t>七、环境风险分析</w:t>
            </w:r>
          </w:p>
          <w:p>
            <w:pPr>
              <w:adjustRightInd w:val="0"/>
              <w:snapToGrid w:val="0"/>
              <w:spacing w:line="360" w:lineRule="auto"/>
              <w:ind w:firstLine="480" w:firstLineChars="200"/>
              <w:rPr>
                <w:sz w:val="24"/>
              </w:rPr>
            </w:pPr>
            <w:r>
              <w:rPr>
                <w:sz w:val="24"/>
              </w:rPr>
              <w:t>（一）环境风险因素</w:t>
            </w:r>
          </w:p>
          <w:p>
            <w:pPr>
              <w:adjustRightInd w:val="0"/>
              <w:snapToGrid w:val="0"/>
              <w:spacing w:line="360" w:lineRule="auto"/>
              <w:ind w:firstLine="480" w:firstLineChars="200"/>
              <w:rPr>
                <w:sz w:val="24"/>
              </w:rPr>
            </w:pPr>
            <w:r>
              <w:rPr>
                <w:rFonts w:hint="eastAsia"/>
                <w:sz w:val="24"/>
              </w:rPr>
              <w:t>根据《建设项目环境风险评价技术导则》（HJ169-2018）附录B对本项目原辅材料及产物的危险性进行识别，本项目运营期产生的固体废物中的废矿物油属于《建设项目环境风险评价技术导则》（HJ169-2018）中规定的风险物质。</w:t>
            </w:r>
          </w:p>
          <w:p>
            <w:pPr>
              <w:pStyle w:val="46"/>
              <w:adjustRightInd/>
              <w:snapToGrid/>
              <w:rPr>
                <w:rFonts w:eastAsia="宋体" w:cs="Times New Roman"/>
                <w:bCs/>
                <w:szCs w:val="24"/>
              </w:rPr>
            </w:pPr>
            <w:r>
              <w:rPr>
                <w:rFonts w:hint="eastAsia" w:eastAsia="宋体" w:cs="Times New Roman"/>
                <w:bCs/>
                <w:szCs w:val="24"/>
              </w:rPr>
              <w:t>表4-11 风险物质消耗量及储存方式</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3"/>
              <w:gridCol w:w="1661"/>
              <w:gridCol w:w="1030"/>
              <w:gridCol w:w="1030"/>
              <w:gridCol w:w="958"/>
              <w:gridCol w:w="1050"/>
              <w:gridCol w:w="11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3" w:type="dxa"/>
                  <w:vAlign w:val="center"/>
                </w:tcPr>
                <w:p>
                  <w:pPr>
                    <w:pStyle w:val="48"/>
                    <w:rPr>
                      <w:rFonts w:ascii="Times New Roman" w:hAnsi="Times New Roman"/>
                      <w:sz w:val="21"/>
                      <w:szCs w:val="21"/>
                    </w:rPr>
                  </w:pPr>
                  <w:r>
                    <w:rPr>
                      <w:rFonts w:ascii="Times New Roman" w:hAnsi="Times New Roman"/>
                      <w:sz w:val="21"/>
                      <w:szCs w:val="21"/>
                    </w:rPr>
                    <w:t>序号</w:t>
                  </w:r>
                </w:p>
              </w:tc>
              <w:tc>
                <w:tcPr>
                  <w:tcW w:w="1661" w:type="dxa"/>
                  <w:vAlign w:val="center"/>
                </w:tcPr>
                <w:p>
                  <w:pPr>
                    <w:pStyle w:val="48"/>
                    <w:rPr>
                      <w:rFonts w:ascii="Times New Roman" w:hAnsi="Times New Roman"/>
                      <w:sz w:val="21"/>
                      <w:szCs w:val="21"/>
                    </w:rPr>
                  </w:pPr>
                  <w:r>
                    <w:rPr>
                      <w:rFonts w:ascii="Times New Roman" w:hAnsi="Times New Roman"/>
                      <w:sz w:val="21"/>
                      <w:szCs w:val="21"/>
                    </w:rPr>
                    <w:t>物料名称</w:t>
                  </w:r>
                </w:p>
              </w:tc>
              <w:tc>
                <w:tcPr>
                  <w:tcW w:w="1030" w:type="dxa"/>
                  <w:vAlign w:val="center"/>
                </w:tcPr>
                <w:p>
                  <w:pPr>
                    <w:pStyle w:val="48"/>
                    <w:rPr>
                      <w:rFonts w:ascii="Times New Roman" w:hAnsi="Times New Roman"/>
                      <w:sz w:val="21"/>
                      <w:szCs w:val="21"/>
                    </w:rPr>
                  </w:pPr>
                  <w:r>
                    <w:rPr>
                      <w:rFonts w:ascii="Times New Roman" w:hAnsi="Times New Roman"/>
                      <w:sz w:val="21"/>
                      <w:szCs w:val="21"/>
                    </w:rPr>
                    <w:t>年用量</w:t>
                  </w:r>
                </w:p>
              </w:tc>
              <w:tc>
                <w:tcPr>
                  <w:tcW w:w="1030" w:type="dxa"/>
                  <w:vAlign w:val="center"/>
                </w:tcPr>
                <w:p>
                  <w:pPr>
                    <w:pStyle w:val="48"/>
                    <w:rPr>
                      <w:rFonts w:ascii="Times New Roman" w:hAnsi="Times New Roman"/>
                      <w:sz w:val="21"/>
                      <w:szCs w:val="21"/>
                    </w:rPr>
                  </w:pPr>
                  <w:r>
                    <w:rPr>
                      <w:rFonts w:ascii="Times New Roman" w:hAnsi="Times New Roman"/>
                      <w:sz w:val="21"/>
                      <w:szCs w:val="21"/>
                    </w:rPr>
                    <w:t>厂区一次最大储存量</w:t>
                  </w:r>
                </w:p>
              </w:tc>
              <w:tc>
                <w:tcPr>
                  <w:tcW w:w="958" w:type="dxa"/>
                  <w:vAlign w:val="center"/>
                </w:tcPr>
                <w:p>
                  <w:pPr>
                    <w:pStyle w:val="48"/>
                    <w:rPr>
                      <w:rFonts w:ascii="Times New Roman" w:hAnsi="Times New Roman"/>
                      <w:sz w:val="21"/>
                      <w:szCs w:val="21"/>
                    </w:rPr>
                  </w:pPr>
                  <w:r>
                    <w:rPr>
                      <w:rFonts w:ascii="Times New Roman" w:hAnsi="Times New Roman"/>
                      <w:sz w:val="21"/>
                      <w:szCs w:val="21"/>
                    </w:rPr>
                    <w:t>储存方式</w:t>
                  </w:r>
                </w:p>
              </w:tc>
              <w:tc>
                <w:tcPr>
                  <w:tcW w:w="1050" w:type="dxa"/>
                  <w:vAlign w:val="center"/>
                </w:tcPr>
                <w:p>
                  <w:pPr>
                    <w:pStyle w:val="48"/>
                    <w:rPr>
                      <w:rFonts w:ascii="Times New Roman" w:hAnsi="Times New Roman"/>
                      <w:sz w:val="21"/>
                      <w:szCs w:val="21"/>
                    </w:rPr>
                  </w:pPr>
                  <w:r>
                    <w:rPr>
                      <w:rFonts w:ascii="Times New Roman" w:hAnsi="Times New Roman"/>
                      <w:sz w:val="21"/>
                      <w:szCs w:val="21"/>
                    </w:rPr>
                    <w:t>临界值</w:t>
                  </w:r>
                </w:p>
              </w:tc>
              <w:tc>
                <w:tcPr>
                  <w:tcW w:w="1158" w:type="dxa"/>
                  <w:vAlign w:val="center"/>
                </w:tcPr>
                <w:p>
                  <w:pPr>
                    <w:pStyle w:val="48"/>
                    <w:rPr>
                      <w:rFonts w:ascii="Times New Roman" w:hAnsi="Times New Roman"/>
                      <w:sz w:val="21"/>
                      <w:szCs w:val="21"/>
                    </w:rPr>
                  </w:pPr>
                  <w:r>
                    <w:rPr>
                      <w:rFonts w:ascii="Times New Roman" w:hAnsi="Times New Roman"/>
                      <w:sz w:val="21"/>
                      <w:szCs w:val="21"/>
                    </w:rPr>
                    <w:t>Q值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3" w:type="dxa"/>
                  <w:vAlign w:val="center"/>
                </w:tcPr>
                <w:p>
                  <w:pPr>
                    <w:pStyle w:val="48"/>
                    <w:rPr>
                      <w:rFonts w:ascii="Times New Roman" w:hAnsi="Times New Roman"/>
                      <w:sz w:val="21"/>
                      <w:szCs w:val="21"/>
                    </w:rPr>
                  </w:pPr>
                  <w:r>
                    <w:rPr>
                      <w:rFonts w:ascii="Times New Roman" w:hAnsi="Times New Roman"/>
                      <w:sz w:val="21"/>
                      <w:szCs w:val="21"/>
                    </w:rPr>
                    <w:t>1</w:t>
                  </w:r>
                </w:p>
              </w:tc>
              <w:tc>
                <w:tcPr>
                  <w:tcW w:w="1661" w:type="dxa"/>
                  <w:vAlign w:val="center"/>
                </w:tcPr>
                <w:p>
                  <w:pPr>
                    <w:pStyle w:val="48"/>
                    <w:rPr>
                      <w:rFonts w:ascii="Times New Roman" w:hAnsi="Times New Roman"/>
                      <w:sz w:val="21"/>
                      <w:szCs w:val="21"/>
                    </w:rPr>
                  </w:pPr>
                  <w:r>
                    <w:rPr>
                      <w:rFonts w:ascii="Times New Roman" w:hAnsi="Times New Roman"/>
                      <w:sz w:val="21"/>
                      <w:szCs w:val="21"/>
                    </w:rPr>
                    <w:t>废矿物油</w:t>
                  </w:r>
                </w:p>
              </w:tc>
              <w:tc>
                <w:tcPr>
                  <w:tcW w:w="1030" w:type="dxa"/>
                  <w:vAlign w:val="center"/>
                </w:tcPr>
                <w:p>
                  <w:pPr>
                    <w:pStyle w:val="48"/>
                    <w:rPr>
                      <w:rFonts w:ascii="Times New Roman" w:hAnsi="Times New Roman"/>
                      <w:sz w:val="21"/>
                      <w:szCs w:val="21"/>
                    </w:rPr>
                  </w:pPr>
                  <w:r>
                    <w:rPr>
                      <w:rFonts w:ascii="Times New Roman" w:hAnsi="Times New Roman"/>
                      <w:sz w:val="21"/>
                      <w:szCs w:val="21"/>
                    </w:rPr>
                    <w:t>0.01t</w:t>
                  </w:r>
                </w:p>
              </w:tc>
              <w:tc>
                <w:tcPr>
                  <w:tcW w:w="1030" w:type="dxa"/>
                  <w:vAlign w:val="center"/>
                </w:tcPr>
                <w:p>
                  <w:pPr>
                    <w:pStyle w:val="48"/>
                    <w:rPr>
                      <w:rFonts w:ascii="Times New Roman" w:hAnsi="Times New Roman"/>
                      <w:sz w:val="21"/>
                      <w:szCs w:val="21"/>
                    </w:rPr>
                  </w:pPr>
                  <w:r>
                    <w:rPr>
                      <w:rFonts w:ascii="Times New Roman" w:hAnsi="Times New Roman"/>
                      <w:sz w:val="21"/>
                      <w:szCs w:val="21"/>
                    </w:rPr>
                    <w:t>0.01t</w:t>
                  </w:r>
                </w:p>
              </w:tc>
              <w:tc>
                <w:tcPr>
                  <w:tcW w:w="958" w:type="dxa"/>
                  <w:vAlign w:val="center"/>
                </w:tcPr>
                <w:p>
                  <w:pPr>
                    <w:pStyle w:val="48"/>
                    <w:rPr>
                      <w:rFonts w:ascii="Times New Roman" w:hAnsi="Times New Roman"/>
                      <w:sz w:val="21"/>
                      <w:szCs w:val="21"/>
                    </w:rPr>
                  </w:pPr>
                  <w:r>
                    <w:rPr>
                      <w:rFonts w:ascii="Times New Roman" w:hAnsi="Times New Roman"/>
                      <w:sz w:val="21"/>
                      <w:szCs w:val="21"/>
                    </w:rPr>
                    <w:t>桶装</w:t>
                  </w:r>
                </w:p>
              </w:tc>
              <w:tc>
                <w:tcPr>
                  <w:tcW w:w="1050" w:type="dxa"/>
                  <w:vAlign w:val="center"/>
                </w:tcPr>
                <w:p>
                  <w:pPr>
                    <w:pStyle w:val="48"/>
                    <w:rPr>
                      <w:rFonts w:ascii="Times New Roman" w:hAnsi="Times New Roman"/>
                      <w:sz w:val="21"/>
                      <w:szCs w:val="21"/>
                    </w:rPr>
                  </w:pPr>
                  <w:r>
                    <w:rPr>
                      <w:rFonts w:ascii="Times New Roman" w:hAnsi="Times New Roman"/>
                      <w:sz w:val="21"/>
                      <w:szCs w:val="21"/>
                    </w:rPr>
                    <w:t>2500t</w:t>
                  </w:r>
                </w:p>
              </w:tc>
              <w:tc>
                <w:tcPr>
                  <w:tcW w:w="1158" w:type="dxa"/>
                  <w:vAlign w:val="center"/>
                </w:tcPr>
                <w:p>
                  <w:pPr>
                    <w:pStyle w:val="48"/>
                    <w:rPr>
                      <w:rFonts w:ascii="Times New Roman" w:hAnsi="Times New Roman"/>
                      <w:sz w:val="21"/>
                      <w:szCs w:val="21"/>
                    </w:rPr>
                  </w:pPr>
                  <w:r>
                    <w:rPr>
                      <w:rFonts w:ascii="Times New Roman" w:hAnsi="Times New Roman"/>
                      <w:sz w:val="21"/>
                      <w:szCs w:val="21"/>
                    </w:rPr>
                    <w:t>0.000004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23" w:type="dxa"/>
                  <w:vAlign w:val="center"/>
                </w:tcPr>
                <w:p>
                  <w:pPr>
                    <w:pStyle w:val="48"/>
                    <w:rPr>
                      <w:rFonts w:ascii="Calibri" w:hAnsi="Calibri"/>
                      <w:sz w:val="21"/>
                      <w:szCs w:val="21"/>
                    </w:rPr>
                  </w:pPr>
                  <w:r>
                    <w:rPr>
                      <w:rFonts w:hint="eastAsia" w:ascii="Calibri" w:hAnsi="Calibri"/>
                      <w:sz w:val="21"/>
                      <w:szCs w:val="21"/>
                    </w:rPr>
                    <w:t>2</w:t>
                  </w:r>
                </w:p>
              </w:tc>
              <w:tc>
                <w:tcPr>
                  <w:tcW w:w="1661" w:type="dxa"/>
                  <w:vAlign w:val="center"/>
                </w:tcPr>
                <w:p>
                  <w:pPr>
                    <w:pStyle w:val="48"/>
                    <w:rPr>
                      <w:rFonts w:ascii="Calibri" w:hAnsi="Calibri"/>
                      <w:sz w:val="21"/>
                      <w:szCs w:val="21"/>
                    </w:rPr>
                  </w:pPr>
                  <w:r>
                    <w:rPr>
                      <w:rFonts w:hint="eastAsia" w:ascii="Calibri" w:hAnsi="Calibri"/>
                      <w:sz w:val="21"/>
                      <w:szCs w:val="21"/>
                    </w:rPr>
                    <w:t>废弃含油抹布、劳保用品</w:t>
                  </w:r>
                </w:p>
              </w:tc>
              <w:tc>
                <w:tcPr>
                  <w:tcW w:w="1030" w:type="dxa"/>
                  <w:vAlign w:val="center"/>
                </w:tcPr>
                <w:p>
                  <w:pPr>
                    <w:pStyle w:val="48"/>
                    <w:rPr>
                      <w:rFonts w:ascii="Times New Roman" w:hAnsi="Times New Roman"/>
                      <w:sz w:val="21"/>
                      <w:szCs w:val="21"/>
                    </w:rPr>
                  </w:pPr>
                  <w:r>
                    <w:rPr>
                      <w:rFonts w:hint="eastAsia" w:ascii="Times New Roman" w:hAnsi="Times New Roman"/>
                      <w:sz w:val="21"/>
                      <w:szCs w:val="21"/>
                    </w:rPr>
                    <w:t>0.01</w:t>
                  </w:r>
                </w:p>
              </w:tc>
              <w:tc>
                <w:tcPr>
                  <w:tcW w:w="1030" w:type="dxa"/>
                  <w:vAlign w:val="center"/>
                </w:tcPr>
                <w:p>
                  <w:pPr>
                    <w:pStyle w:val="48"/>
                    <w:rPr>
                      <w:rFonts w:ascii="Times New Roman" w:hAnsi="Times New Roman"/>
                      <w:sz w:val="21"/>
                      <w:szCs w:val="21"/>
                    </w:rPr>
                  </w:pPr>
                  <w:r>
                    <w:rPr>
                      <w:rFonts w:hint="eastAsia" w:ascii="Times New Roman" w:hAnsi="Times New Roman"/>
                      <w:sz w:val="21"/>
                      <w:szCs w:val="21"/>
                    </w:rPr>
                    <w:t>0.05</w:t>
                  </w:r>
                  <w:r>
                    <w:rPr>
                      <w:rFonts w:ascii="Times New Roman" w:hAnsi="Times New Roman"/>
                      <w:sz w:val="21"/>
                      <w:szCs w:val="21"/>
                    </w:rPr>
                    <w:t>t</w:t>
                  </w:r>
                </w:p>
              </w:tc>
              <w:tc>
                <w:tcPr>
                  <w:tcW w:w="958" w:type="dxa"/>
                  <w:vAlign w:val="center"/>
                </w:tcPr>
                <w:p>
                  <w:pPr>
                    <w:pStyle w:val="48"/>
                    <w:rPr>
                      <w:rFonts w:ascii="Times New Roman" w:hAnsi="Times New Roman"/>
                      <w:sz w:val="21"/>
                      <w:szCs w:val="21"/>
                    </w:rPr>
                  </w:pPr>
                  <w:r>
                    <w:rPr>
                      <w:rFonts w:hint="eastAsia" w:ascii="Times New Roman" w:hAnsi="Times New Roman"/>
                      <w:sz w:val="21"/>
                      <w:szCs w:val="21"/>
                    </w:rPr>
                    <w:t>袋装</w:t>
                  </w:r>
                </w:p>
              </w:tc>
              <w:tc>
                <w:tcPr>
                  <w:tcW w:w="1050" w:type="dxa"/>
                  <w:vAlign w:val="center"/>
                </w:tcPr>
                <w:p>
                  <w:pPr>
                    <w:pStyle w:val="48"/>
                    <w:rPr>
                      <w:rFonts w:ascii="Times New Roman" w:hAnsi="Times New Roman"/>
                      <w:sz w:val="21"/>
                      <w:szCs w:val="21"/>
                    </w:rPr>
                  </w:pPr>
                  <w:r>
                    <w:rPr>
                      <w:rFonts w:hint="eastAsia" w:ascii="Times New Roman" w:hAnsi="Times New Roman"/>
                      <w:sz w:val="21"/>
                      <w:szCs w:val="21"/>
                    </w:rPr>
                    <w:t>50t</w:t>
                  </w:r>
                </w:p>
              </w:tc>
              <w:tc>
                <w:tcPr>
                  <w:tcW w:w="1158" w:type="dxa"/>
                  <w:vAlign w:val="center"/>
                </w:tcPr>
                <w:p>
                  <w:pPr>
                    <w:pStyle w:val="48"/>
                    <w:rPr>
                      <w:rFonts w:ascii="Times New Roman" w:hAnsi="Times New Roman"/>
                      <w:sz w:val="21"/>
                      <w:szCs w:val="21"/>
                    </w:rPr>
                  </w:pPr>
                  <w:r>
                    <w:rPr>
                      <w:rFonts w:hint="eastAsia" w:ascii="Times New Roman" w:hAnsi="Times New Roman"/>
                      <w:sz w:val="21"/>
                      <w:szCs w:val="21"/>
                    </w:rPr>
                    <w:t>0.0002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9" w:hRule="atLeast"/>
              </w:trPr>
              <w:tc>
                <w:tcPr>
                  <w:tcW w:w="6752" w:type="dxa"/>
                  <w:gridSpan w:val="6"/>
                  <w:vAlign w:val="center"/>
                </w:tcPr>
                <w:p>
                  <w:pPr>
                    <w:pStyle w:val="48"/>
                    <w:rPr>
                      <w:rFonts w:ascii="Times New Roman" w:hAnsi="Times New Roman"/>
                      <w:sz w:val="21"/>
                      <w:szCs w:val="21"/>
                    </w:rPr>
                  </w:pPr>
                  <w:r>
                    <w:rPr>
                      <w:rFonts w:hint="eastAsia" w:ascii="Times New Roman" w:hAnsi="Times New Roman"/>
                      <w:sz w:val="21"/>
                      <w:szCs w:val="21"/>
                    </w:rPr>
                    <w:t>合计</w:t>
                  </w:r>
                </w:p>
              </w:tc>
              <w:tc>
                <w:tcPr>
                  <w:tcW w:w="1158" w:type="dxa"/>
                  <w:vAlign w:val="center"/>
                </w:tcPr>
                <w:p>
                  <w:pPr>
                    <w:pStyle w:val="48"/>
                    <w:rPr>
                      <w:rFonts w:ascii="Times New Roman" w:hAnsi="Times New Roman"/>
                      <w:sz w:val="21"/>
                      <w:szCs w:val="21"/>
                    </w:rPr>
                  </w:pPr>
                  <w:r>
                    <w:rPr>
                      <w:rFonts w:hint="eastAsia" w:ascii="Times New Roman" w:hAnsi="Times New Roman"/>
                      <w:sz w:val="21"/>
                      <w:szCs w:val="21"/>
                    </w:rPr>
                    <w:t>0.000204</w:t>
                  </w:r>
                </w:p>
              </w:tc>
            </w:tr>
          </w:tbl>
          <w:p>
            <w:pPr>
              <w:adjustRightInd w:val="0"/>
              <w:snapToGrid w:val="0"/>
              <w:spacing w:line="360" w:lineRule="auto"/>
              <w:ind w:firstLine="480" w:firstLineChars="200"/>
              <w:rPr>
                <w:sz w:val="24"/>
              </w:rPr>
            </w:pPr>
            <w:r>
              <w:rPr>
                <w:sz w:val="24"/>
              </w:rPr>
              <w:t>根据项目所用原料及三废涉及《建设项目环境风险评价技术导则》（HJ169—2018）风险物质。附录B重点关注的危险物质及临界量中B.1突发环境事件风险物质及临界量表。项目危险物质数量与临界量比值Q&lt;1。该项目环境风险潜势为I。开展简单分析。</w:t>
            </w:r>
          </w:p>
          <w:p>
            <w:pPr>
              <w:adjustRightInd w:val="0"/>
              <w:snapToGrid w:val="0"/>
              <w:spacing w:line="360" w:lineRule="auto"/>
              <w:ind w:firstLine="480" w:firstLineChars="200"/>
              <w:rPr>
                <w:sz w:val="24"/>
              </w:rPr>
            </w:pPr>
            <w:r>
              <w:rPr>
                <w:sz w:val="24"/>
              </w:rPr>
              <w:t>（二）风险措施分析</w:t>
            </w:r>
          </w:p>
          <w:p>
            <w:pPr>
              <w:adjustRightInd w:val="0"/>
              <w:snapToGrid w:val="0"/>
              <w:spacing w:line="360" w:lineRule="auto"/>
              <w:ind w:firstLine="480" w:firstLineChars="200"/>
              <w:rPr>
                <w:sz w:val="24"/>
              </w:rPr>
            </w:pPr>
            <w:r>
              <w:rPr>
                <w:rFonts w:hint="eastAsia"/>
                <w:sz w:val="24"/>
              </w:rPr>
              <w:t>结合项目选煤规模及特点和环境状况，本项目风险因素主要包括原煤堆自燃事故、废水处理设施泄漏事故、废矿物油泄露事故、煤尘爆炸事故、废弃含油抹布、劳保用品遗弃。</w:t>
            </w:r>
          </w:p>
          <w:p>
            <w:pPr>
              <w:adjustRightInd w:val="0"/>
              <w:snapToGrid w:val="0"/>
              <w:spacing w:line="360" w:lineRule="auto"/>
              <w:ind w:firstLine="480" w:firstLineChars="200"/>
              <w:rPr>
                <w:sz w:val="24"/>
              </w:rPr>
            </w:pPr>
            <w:r>
              <w:rPr>
                <w:sz w:val="24"/>
              </w:rPr>
              <w:t>1、原煤堆放库自燃：当原煤低温氧化反应放出的热量无法及时释放到外界时，温度就会持续升高，外加本身具有自燃倾向，且能够和充足氧气接触，在温度升高至80℃左右时，氧化反应速度就会急速升高，于是矸石由自热变成自燃状。因此，在堆放过程中，采取夯实、碾压及稳定堆置等措施，要做好巡查工作，以保证正常、安全、有序的生产。</w:t>
            </w:r>
          </w:p>
          <w:p>
            <w:pPr>
              <w:adjustRightInd w:val="0"/>
              <w:snapToGrid w:val="0"/>
              <w:spacing w:line="360" w:lineRule="auto"/>
              <w:ind w:firstLine="480" w:firstLineChars="200"/>
              <w:rPr>
                <w:sz w:val="24"/>
              </w:rPr>
            </w:pPr>
            <w:r>
              <w:rPr>
                <w:sz w:val="24"/>
              </w:rPr>
              <w:t>2、废水处理设施泄漏事故：废水处理设施泄漏是指洗煤废水处理装置在运行过程中由于机械故障、防渗措施不当、操作不当等诸多因素造成大量废水不能及时处理直接排入地表。如果直接排放将对受纳水体造成影响，进而危及动植物及人体健康。因此，设置防渗事故水池，做好检查工作，以保证正常、安全、有序的生产。</w:t>
            </w:r>
          </w:p>
          <w:p>
            <w:pPr>
              <w:adjustRightInd w:val="0"/>
              <w:snapToGrid w:val="0"/>
              <w:spacing w:line="360" w:lineRule="auto"/>
              <w:ind w:firstLine="480" w:firstLineChars="200"/>
              <w:rPr>
                <w:sz w:val="24"/>
              </w:rPr>
            </w:pPr>
            <w:r>
              <w:rPr>
                <w:rFonts w:hint="eastAsia"/>
                <w:sz w:val="24"/>
              </w:rPr>
              <w:t>3、废矿物油泄露事故：</w:t>
            </w:r>
          </w:p>
          <w:p>
            <w:pPr>
              <w:adjustRightInd w:val="0"/>
              <w:snapToGrid w:val="0"/>
              <w:spacing w:line="360" w:lineRule="auto"/>
              <w:ind w:firstLine="480" w:firstLineChars="200"/>
              <w:rPr>
                <w:sz w:val="24"/>
              </w:rPr>
            </w:pPr>
            <w:r>
              <w:rPr>
                <w:rFonts w:hint="eastAsia"/>
                <w:sz w:val="24"/>
              </w:rPr>
              <w:t>本项目设备维修、养护产生的废矿物油均采用专用油桶收集，暂存于危险废物贮存点，定期委托有资质单位拉运处置。汽车运输过程有发生交通事故的可能，如撞车、侧翻等，一旦发生此类事故，有可能包装桶盖被撞开或被撞破，则有可能导致油料泄漏，则泄漏油料有可能进入附近水体。此外，在厂内储存过程中，包装桶在存放过程有可能因意外而侧翻或破损，或温差过大造成盖子顶开，也可能发生泄漏。因此应安排专人定期检查油桶包装情况，采用堆码试验、跌落试验、气密试验和气压试验等检验标准进行定期检验，危废贮存点专人管理，建立物料台账。危废贮存点按照重点防渗要求防渗。运输包装件严格按规定印制提醒符号，标明危险品类别、名称及尺寸、颜色。运输时合理规划路线，需尽量避开环境敏感点，运输车辆应配备应急响应消防器材，告诉运输人员有关运输物质的性质和事故应急处理方法，确保在事故发生情况下能事故应急，减缓影响。</w:t>
            </w:r>
          </w:p>
          <w:p>
            <w:pPr>
              <w:adjustRightInd w:val="0"/>
              <w:snapToGrid w:val="0"/>
              <w:spacing w:line="360" w:lineRule="auto"/>
              <w:ind w:firstLine="480" w:firstLineChars="200"/>
              <w:rPr>
                <w:sz w:val="24"/>
              </w:rPr>
            </w:pPr>
            <w:r>
              <w:rPr>
                <w:rFonts w:hint="eastAsia"/>
                <w:sz w:val="24"/>
              </w:rPr>
              <w:t>4、煤尘爆炸事故：由于煤尘处理设施事故在运行过程中导致煤尘泄漏，在有明火、火源、火种、静电时易产生爆炸。因此，要加强对厂内除尘通风设</w:t>
            </w:r>
            <w:r>
              <w:rPr>
                <w:sz w:val="24"/>
              </w:rPr>
              <w:t>备的维护，使之保持完好状态。相关负责巡查人员在日常安全监察中重点加强对各主要产尘点的监察。并定期进行专项检查，对发现的问题督促整改。厂区内严禁吸烟，电气焊作业时必须预先采取清扫、洒水等降尘、除尘措施。作业场所定期清扫、冲洗制度。要求所有作业场所随时保持清洁，防止积尘。</w:t>
            </w:r>
          </w:p>
          <w:p>
            <w:pPr>
              <w:adjustRightInd w:val="0"/>
              <w:snapToGrid w:val="0"/>
              <w:spacing w:line="360" w:lineRule="auto"/>
              <w:ind w:firstLine="480" w:firstLineChars="200"/>
              <w:rPr>
                <w:sz w:val="24"/>
              </w:rPr>
            </w:pPr>
            <w:r>
              <w:rPr>
                <w:rFonts w:hint="eastAsia"/>
                <w:sz w:val="24"/>
              </w:rPr>
              <w:t>5、废弃含油抹布、劳保用品遗弃：</w:t>
            </w:r>
            <w:r>
              <w:rPr>
                <w:sz w:val="24"/>
              </w:rPr>
              <w:t>对于少量产生的</w:t>
            </w:r>
            <w:r>
              <w:rPr>
                <w:rFonts w:hint="eastAsia"/>
                <w:sz w:val="24"/>
              </w:rPr>
              <w:t>废弃含油抹布、劳保用品</w:t>
            </w:r>
            <w:r>
              <w:rPr>
                <w:sz w:val="24"/>
              </w:rPr>
              <w:t>，</w:t>
            </w:r>
            <w:r>
              <w:rPr>
                <w:rFonts w:hint="eastAsia"/>
                <w:sz w:val="24"/>
              </w:rPr>
              <w:t>应</w:t>
            </w:r>
            <w:r>
              <w:rPr>
                <w:sz w:val="24"/>
              </w:rPr>
              <w:t>推广使用可降解抹布或采取措施减少油品滴漏，从而在源头上减少废弃物的生成</w:t>
            </w:r>
            <w:r>
              <w:rPr>
                <w:rFonts w:hint="eastAsia"/>
                <w:sz w:val="24"/>
              </w:rPr>
              <w:t>，同时，</w:t>
            </w:r>
            <w:r>
              <w:rPr>
                <w:sz w:val="24"/>
              </w:rPr>
              <w:t>定期对员工进行培训，</w:t>
            </w:r>
            <w:r>
              <w:rPr>
                <w:rFonts w:hint="eastAsia"/>
                <w:sz w:val="24"/>
              </w:rPr>
              <w:t>严禁将其</w:t>
            </w:r>
            <w:r>
              <w:rPr>
                <w:sz w:val="24"/>
              </w:rPr>
              <w:t>混入生活垃圾中</w:t>
            </w:r>
            <w:r>
              <w:rPr>
                <w:rFonts w:hint="eastAsia"/>
                <w:sz w:val="24"/>
              </w:rPr>
              <w:t>，</w:t>
            </w:r>
            <w:r>
              <w:rPr>
                <w:sz w:val="24"/>
              </w:rPr>
              <w:t>明确</w:t>
            </w:r>
            <w:r>
              <w:rPr>
                <w:rFonts w:hint="eastAsia"/>
                <w:sz w:val="24"/>
              </w:rPr>
              <w:t>废弃含油抹布、劳保用品</w:t>
            </w:r>
            <w:r>
              <w:rPr>
                <w:sz w:val="24"/>
              </w:rPr>
              <w:t>分类</w:t>
            </w:r>
            <w:r>
              <w:rPr>
                <w:rFonts w:hint="eastAsia"/>
                <w:sz w:val="24"/>
              </w:rPr>
              <w:t>管理</w:t>
            </w:r>
            <w:r>
              <w:rPr>
                <w:sz w:val="24"/>
              </w:rPr>
              <w:t>要求，以避免因误判而导致的</w:t>
            </w:r>
            <w:r>
              <w:rPr>
                <w:rFonts w:hint="eastAsia"/>
                <w:sz w:val="24"/>
              </w:rPr>
              <w:t>环境</w:t>
            </w:r>
            <w:r>
              <w:rPr>
                <w:sz w:val="24"/>
              </w:rPr>
              <w:t>风险</w:t>
            </w:r>
            <w:r>
              <w:rPr>
                <w:rFonts w:hint="eastAsia"/>
                <w:sz w:val="24"/>
              </w:rPr>
              <w:t>。</w:t>
            </w:r>
          </w:p>
          <w:p>
            <w:pPr>
              <w:adjustRightInd w:val="0"/>
              <w:snapToGrid w:val="0"/>
              <w:spacing w:line="360" w:lineRule="auto"/>
              <w:ind w:firstLine="480" w:firstLineChars="200"/>
              <w:rPr>
                <w:sz w:val="24"/>
              </w:rPr>
            </w:pPr>
            <w:r>
              <w:rPr>
                <w:rFonts w:hint="eastAsia"/>
                <w:sz w:val="24"/>
              </w:rPr>
              <w:t>（三）应急预案</w:t>
            </w:r>
          </w:p>
          <w:p>
            <w:pPr>
              <w:adjustRightInd w:val="0"/>
              <w:snapToGrid w:val="0"/>
              <w:spacing w:line="360" w:lineRule="auto"/>
              <w:ind w:firstLine="480" w:firstLineChars="200"/>
              <w:rPr>
                <w:sz w:val="24"/>
              </w:rPr>
            </w:pPr>
            <w:r>
              <w:rPr>
                <w:rFonts w:hint="eastAsia"/>
                <w:sz w:val="24"/>
              </w:rPr>
              <w:t>在制定事故应急救援预案时，必须遵循“预防为主，防救结合”的原则，立足点应在“防”。根据《建设项目环境风险评价技术导则》（HJ/T169-2018），本工程危险事故应急预案内容见下表。</w:t>
            </w:r>
          </w:p>
          <w:p>
            <w:pPr>
              <w:pStyle w:val="46"/>
              <w:rPr>
                <w:rFonts w:eastAsia="宋体" w:cs="Times New Roman"/>
                <w:bCs/>
                <w:szCs w:val="24"/>
              </w:rPr>
            </w:pPr>
            <w:r>
              <w:rPr>
                <w:rFonts w:eastAsia="宋体" w:cs="Times New Roman"/>
                <w:bCs/>
                <w:szCs w:val="24"/>
              </w:rPr>
              <w:t>表4-1</w:t>
            </w:r>
            <w:r>
              <w:rPr>
                <w:rFonts w:hint="eastAsia" w:eastAsia="宋体" w:cs="Times New Roman"/>
                <w:bCs/>
                <w:szCs w:val="24"/>
              </w:rPr>
              <w:t>1</w:t>
            </w:r>
            <w:r>
              <w:rPr>
                <w:rFonts w:eastAsia="宋体" w:cs="Times New Roman"/>
                <w:bCs/>
                <w:szCs w:val="24"/>
              </w:rPr>
              <w:t xml:space="preserve"> 应急预案内容</w:t>
            </w:r>
          </w:p>
          <w:tbl>
            <w:tblPr>
              <w:tblStyle w:val="7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3"/>
              <w:gridCol w:w="2268"/>
              <w:gridCol w:w="48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Align w:val="center"/>
                </w:tcPr>
                <w:p>
                  <w:pPr>
                    <w:adjustRightInd w:val="0"/>
                    <w:snapToGrid w:val="0"/>
                    <w:jc w:val="center"/>
                    <w:rPr>
                      <w:rFonts w:ascii="Calibri" w:hAnsi="Calibri"/>
                      <w:sz w:val="24"/>
                    </w:rPr>
                  </w:pPr>
                  <w:r>
                    <w:rPr>
                      <w:rFonts w:ascii="Calibri" w:hAnsi="Calibri"/>
                      <w:spacing w:val="5"/>
                      <w:sz w:val="20"/>
                      <w:szCs w:val="20"/>
                    </w:rPr>
                    <w:t>序号</w:t>
                  </w:r>
                </w:p>
              </w:tc>
              <w:tc>
                <w:tcPr>
                  <w:tcW w:w="2268" w:type="dxa"/>
                  <w:vAlign w:val="center"/>
                </w:tcPr>
                <w:p>
                  <w:pPr>
                    <w:adjustRightInd w:val="0"/>
                    <w:snapToGrid w:val="0"/>
                    <w:jc w:val="center"/>
                    <w:rPr>
                      <w:rFonts w:ascii="Calibri" w:hAnsi="Calibri"/>
                      <w:sz w:val="24"/>
                    </w:rPr>
                  </w:pPr>
                  <w:r>
                    <w:rPr>
                      <w:rFonts w:ascii="Calibri" w:hAnsi="Calibri"/>
                      <w:spacing w:val="3"/>
                      <w:sz w:val="20"/>
                      <w:szCs w:val="20"/>
                    </w:rPr>
                    <w:t>项目</w:t>
                  </w:r>
                </w:p>
              </w:tc>
              <w:tc>
                <w:tcPr>
                  <w:tcW w:w="4899" w:type="dxa"/>
                  <w:vAlign w:val="center"/>
                </w:tcPr>
                <w:p>
                  <w:pPr>
                    <w:widowControl/>
                    <w:jc w:val="center"/>
                    <w:rPr>
                      <w:rFonts w:ascii="Calibri" w:hAnsi="Calibri"/>
                      <w:sz w:val="24"/>
                    </w:rPr>
                  </w:pPr>
                  <w:r>
                    <w:rPr>
                      <w:rFonts w:ascii="Calibri" w:hAnsi="Calibri"/>
                      <w:spacing w:val="6"/>
                      <w:sz w:val="20"/>
                      <w:szCs w:val="20"/>
                    </w:rPr>
                    <w:t>主要内容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Align w:val="center"/>
                </w:tcPr>
                <w:p>
                  <w:pPr>
                    <w:adjustRightInd w:val="0"/>
                    <w:snapToGrid w:val="0"/>
                    <w:jc w:val="center"/>
                    <w:rPr>
                      <w:rFonts w:ascii="Calibri" w:hAnsi="Calibri"/>
                      <w:sz w:val="24"/>
                    </w:rPr>
                  </w:pPr>
                  <w:r>
                    <w:rPr>
                      <w:rFonts w:ascii="Times New Roman" w:hAnsi="Times New Roman" w:eastAsia="Times New Roman"/>
                      <w:sz w:val="20"/>
                      <w:szCs w:val="20"/>
                    </w:rPr>
                    <w:t>1</w:t>
                  </w:r>
                </w:p>
              </w:tc>
              <w:tc>
                <w:tcPr>
                  <w:tcW w:w="2268" w:type="dxa"/>
                  <w:vAlign w:val="center"/>
                </w:tcPr>
                <w:p>
                  <w:pPr>
                    <w:adjustRightInd w:val="0"/>
                    <w:snapToGrid w:val="0"/>
                    <w:jc w:val="center"/>
                    <w:rPr>
                      <w:rFonts w:ascii="Calibri" w:hAnsi="Calibri"/>
                      <w:sz w:val="24"/>
                    </w:rPr>
                  </w:pPr>
                  <w:r>
                    <w:rPr>
                      <w:rFonts w:ascii="Calibri" w:hAnsi="Calibri"/>
                      <w:spacing w:val="8"/>
                      <w:sz w:val="20"/>
                      <w:szCs w:val="20"/>
                    </w:rPr>
                    <w:t>应急计划区</w:t>
                  </w:r>
                </w:p>
              </w:tc>
              <w:tc>
                <w:tcPr>
                  <w:tcW w:w="4899" w:type="dxa"/>
                  <w:vAlign w:val="center"/>
                </w:tcPr>
                <w:p>
                  <w:pPr>
                    <w:widowControl/>
                    <w:rPr>
                      <w:rFonts w:ascii="Calibri" w:hAnsi="Calibri"/>
                      <w:sz w:val="24"/>
                    </w:rPr>
                  </w:pPr>
                  <w:r>
                    <w:rPr>
                      <w:rFonts w:ascii="Calibri" w:hAnsi="Calibri"/>
                      <w:spacing w:val="9"/>
                      <w:sz w:val="20"/>
                      <w:szCs w:val="20"/>
                    </w:rPr>
                    <w:t>主要危险源：厂区仓库和生产车间设置禁火、防爆区域</w:t>
                  </w:r>
                  <w:r>
                    <w:rPr>
                      <w:rFonts w:hint="eastAsia" w:ascii="Calibri" w:hAnsi="Calibri"/>
                      <w:spacing w:val="9"/>
                      <w:sz w:val="20"/>
                      <w:szCs w:val="2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Align w:val="center"/>
                </w:tcPr>
                <w:p>
                  <w:pPr>
                    <w:adjustRightInd w:val="0"/>
                    <w:snapToGrid w:val="0"/>
                    <w:jc w:val="center"/>
                    <w:rPr>
                      <w:rFonts w:ascii="Calibri" w:hAnsi="Calibri" w:eastAsia="Times New Roman"/>
                      <w:sz w:val="20"/>
                      <w:szCs w:val="20"/>
                    </w:rPr>
                  </w:pPr>
                  <w:r>
                    <w:rPr>
                      <w:rFonts w:ascii="Times New Roman" w:hAnsi="Times New Roman" w:eastAsia="Times New Roman"/>
                      <w:sz w:val="20"/>
                      <w:szCs w:val="20"/>
                    </w:rPr>
                    <w:t>2</w:t>
                  </w:r>
                </w:p>
              </w:tc>
              <w:tc>
                <w:tcPr>
                  <w:tcW w:w="2268" w:type="dxa"/>
                  <w:vAlign w:val="center"/>
                </w:tcPr>
                <w:p>
                  <w:pPr>
                    <w:adjustRightInd w:val="0"/>
                    <w:snapToGrid w:val="0"/>
                    <w:jc w:val="center"/>
                    <w:rPr>
                      <w:rFonts w:ascii="Calibri" w:hAnsi="Calibri"/>
                      <w:spacing w:val="8"/>
                      <w:sz w:val="20"/>
                      <w:szCs w:val="20"/>
                    </w:rPr>
                  </w:pPr>
                  <w:r>
                    <w:rPr>
                      <w:rFonts w:ascii="Calibri" w:hAnsi="Calibri"/>
                      <w:spacing w:val="8"/>
                      <w:sz w:val="20"/>
                      <w:szCs w:val="20"/>
                    </w:rPr>
                    <w:t>应急组织结构</w:t>
                  </w:r>
                </w:p>
              </w:tc>
              <w:tc>
                <w:tcPr>
                  <w:tcW w:w="4899" w:type="dxa"/>
                  <w:vAlign w:val="center"/>
                </w:tcPr>
                <w:p>
                  <w:pPr>
                    <w:widowControl/>
                    <w:rPr>
                      <w:rFonts w:ascii="Calibri" w:hAnsi="Calibri"/>
                      <w:spacing w:val="9"/>
                      <w:sz w:val="20"/>
                      <w:szCs w:val="20"/>
                    </w:rPr>
                  </w:pPr>
                  <w:r>
                    <w:rPr>
                      <w:rFonts w:ascii="Calibri" w:hAnsi="Calibri"/>
                      <w:spacing w:val="6"/>
                      <w:sz w:val="20"/>
                      <w:szCs w:val="20"/>
                    </w:rPr>
                    <w:t>公司设置应急组织机构，设置有应急办主任、副主任，为应急计划、协调第一人，应急人员必须为培训上岗熟练工；区域应急组织结构由当地政府、相关行业专家、卫生安全相关单位组</w:t>
                  </w:r>
                  <w:r>
                    <w:rPr>
                      <w:rFonts w:ascii="Calibri" w:hAnsi="Calibri"/>
                      <w:spacing w:val="8"/>
                      <w:sz w:val="20"/>
                      <w:szCs w:val="20"/>
                    </w:rPr>
                    <w:t>成，并由当地政府进行统一调度。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43" w:type="dxa"/>
                  <w:vAlign w:val="center"/>
                </w:tcPr>
                <w:p>
                  <w:pPr>
                    <w:jc w:val="center"/>
                    <w:rPr>
                      <w:rFonts w:ascii="Calibri" w:hAnsi="Calibri"/>
                    </w:rPr>
                  </w:pPr>
                  <w:r>
                    <w:rPr>
                      <w:rFonts w:ascii="Times New Roman" w:hAnsi="Times New Roman" w:eastAsia="Times New Roman"/>
                      <w:sz w:val="20"/>
                      <w:szCs w:val="20"/>
                    </w:rPr>
                    <w:t>3</w:t>
                  </w:r>
                </w:p>
              </w:tc>
              <w:tc>
                <w:tcPr>
                  <w:tcW w:w="2268" w:type="dxa"/>
                  <w:vAlign w:val="center"/>
                </w:tcPr>
                <w:p>
                  <w:pPr>
                    <w:jc w:val="center"/>
                    <w:rPr>
                      <w:rFonts w:ascii="Calibri" w:hAnsi="Calibri"/>
                    </w:rPr>
                  </w:pPr>
                  <w:r>
                    <w:rPr>
                      <w:rFonts w:ascii="Calibri" w:hAnsi="Calibri"/>
                      <w:spacing w:val="7"/>
                      <w:sz w:val="20"/>
                      <w:szCs w:val="20"/>
                    </w:rPr>
                    <w:t>预案分级响应</w:t>
                  </w:r>
                  <w:r>
                    <w:rPr>
                      <w:rFonts w:ascii="Calibri" w:hAnsi="Calibri"/>
                      <w:spacing w:val="3"/>
                      <w:sz w:val="20"/>
                      <w:szCs w:val="20"/>
                    </w:rPr>
                    <w:t>条件</w:t>
                  </w:r>
                </w:p>
              </w:tc>
              <w:tc>
                <w:tcPr>
                  <w:tcW w:w="4899" w:type="dxa"/>
                  <w:vAlign w:val="center"/>
                </w:tcPr>
                <w:p>
                  <w:pPr>
                    <w:widowControl/>
                    <w:rPr>
                      <w:rFonts w:ascii="Calibri" w:hAnsi="Calibri"/>
                      <w:spacing w:val="6"/>
                      <w:sz w:val="20"/>
                      <w:szCs w:val="20"/>
                    </w:rPr>
                  </w:pPr>
                  <w:r>
                    <w:rPr>
                      <w:rFonts w:ascii="Calibri" w:hAnsi="Calibri"/>
                      <w:spacing w:val="6"/>
                      <w:sz w:val="20"/>
                      <w:szCs w:val="20"/>
                    </w:rPr>
                    <w:t>根据事故的严重程度制定相应级别的应急预案，以及适合相应</w:t>
                  </w:r>
                  <w:r>
                    <w:rPr>
                      <w:rFonts w:ascii="Calibri" w:hAnsi="Calibri"/>
                      <w:spacing w:val="7"/>
                      <w:sz w:val="20"/>
                      <w:szCs w:val="20"/>
                    </w:rPr>
                    <w:t>情况的处理措施。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Align w:val="center"/>
                </w:tcPr>
                <w:p>
                  <w:pPr>
                    <w:jc w:val="center"/>
                    <w:rPr>
                      <w:rFonts w:ascii="Calibri" w:hAnsi="Calibri" w:eastAsia="Times New Roman"/>
                      <w:sz w:val="20"/>
                      <w:szCs w:val="20"/>
                    </w:rPr>
                  </w:pPr>
                  <w:r>
                    <w:rPr>
                      <w:rFonts w:ascii="Times New Roman" w:hAnsi="Times New Roman" w:eastAsia="Times New Roman"/>
                      <w:spacing w:val="1"/>
                      <w:sz w:val="20"/>
                      <w:szCs w:val="20"/>
                    </w:rPr>
                    <w:t>4</w:t>
                  </w:r>
                </w:p>
              </w:tc>
              <w:tc>
                <w:tcPr>
                  <w:tcW w:w="2268" w:type="dxa"/>
                  <w:vAlign w:val="center"/>
                </w:tcPr>
                <w:p>
                  <w:pPr>
                    <w:jc w:val="center"/>
                    <w:rPr>
                      <w:rFonts w:ascii="Calibri" w:hAnsi="Calibri"/>
                      <w:spacing w:val="7"/>
                      <w:sz w:val="20"/>
                      <w:szCs w:val="20"/>
                    </w:rPr>
                  </w:pPr>
                  <w:r>
                    <w:rPr>
                      <w:rFonts w:ascii="Calibri" w:hAnsi="Calibri"/>
                      <w:spacing w:val="8"/>
                      <w:sz w:val="20"/>
                      <w:szCs w:val="20"/>
                    </w:rPr>
                    <w:t>应急救援保障</w:t>
                  </w:r>
                </w:p>
              </w:tc>
              <w:tc>
                <w:tcPr>
                  <w:tcW w:w="4899" w:type="dxa"/>
                  <w:vAlign w:val="center"/>
                </w:tcPr>
                <w:p>
                  <w:pPr>
                    <w:widowControl/>
                    <w:rPr>
                      <w:rFonts w:ascii="Calibri" w:hAnsi="Calibri"/>
                      <w:spacing w:val="6"/>
                      <w:sz w:val="20"/>
                      <w:szCs w:val="20"/>
                    </w:rPr>
                  </w:pPr>
                  <w:r>
                    <w:rPr>
                      <w:rFonts w:ascii="Calibri" w:hAnsi="Calibri"/>
                      <w:spacing w:val="9"/>
                      <w:sz w:val="20"/>
                      <w:szCs w:val="20"/>
                    </w:rPr>
                    <w:t>应急救援保障应急设施、设备和器材等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Align w:val="center"/>
                </w:tcPr>
                <w:p>
                  <w:pPr>
                    <w:jc w:val="center"/>
                    <w:rPr>
                      <w:rFonts w:ascii="Calibri" w:hAnsi="Calibri" w:eastAsia="Times New Roman"/>
                      <w:spacing w:val="1"/>
                      <w:sz w:val="20"/>
                      <w:szCs w:val="20"/>
                    </w:rPr>
                  </w:pPr>
                  <w:r>
                    <w:rPr>
                      <w:rFonts w:ascii="Times New Roman" w:hAnsi="Times New Roman" w:eastAsia="Times New Roman"/>
                      <w:sz w:val="20"/>
                      <w:szCs w:val="20"/>
                    </w:rPr>
                    <w:t>5</w:t>
                  </w:r>
                </w:p>
              </w:tc>
              <w:tc>
                <w:tcPr>
                  <w:tcW w:w="2268" w:type="dxa"/>
                  <w:vAlign w:val="center"/>
                </w:tcPr>
                <w:p>
                  <w:pPr>
                    <w:jc w:val="center"/>
                    <w:rPr>
                      <w:rFonts w:ascii="Calibri" w:hAnsi="Calibri"/>
                      <w:spacing w:val="8"/>
                      <w:sz w:val="20"/>
                      <w:szCs w:val="20"/>
                    </w:rPr>
                  </w:pPr>
                  <w:r>
                    <w:rPr>
                      <w:rFonts w:ascii="Calibri" w:hAnsi="Calibri"/>
                      <w:spacing w:val="-2"/>
                      <w:sz w:val="20"/>
                      <w:szCs w:val="20"/>
                    </w:rPr>
                    <w:t>报警、通讯联络</w:t>
                  </w:r>
                  <w:r>
                    <w:rPr>
                      <w:rFonts w:ascii="Calibri" w:hAnsi="Calibri"/>
                      <w:spacing w:val="4"/>
                      <w:sz w:val="20"/>
                      <w:szCs w:val="20"/>
                    </w:rPr>
                    <w:t>方式</w:t>
                  </w:r>
                </w:p>
              </w:tc>
              <w:tc>
                <w:tcPr>
                  <w:tcW w:w="4899" w:type="dxa"/>
                  <w:vAlign w:val="center"/>
                </w:tcPr>
                <w:p>
                  <w:pPr>
                    <w:widowControl/>
                    <w:rPr>
                      <w:rFonts w:ascii="Calibri" w:hAnsi="Calibri"/>
                      <w:spacing w:val="9"/>
                      <w:sz w:val="20"/>
                      <w:szCs w:val="20"/>
                    </w:rPr>
                  </w:pPr>
                  <w:r>
                    <w:rPr>
                      <w:rFonts w:ascii="Calibri" w:hAnsi="Calibri"/>
                      <w:spacing w:val="8"/>
                      <w:sz w:val="20"/>
                      <w:szCs w:val="20"/>
                    </w:rPr>
                    <w:t>逐一细化应急状态下各主要负责部门的报警通讯方式、地点、电话号码以及相关配套的交通保障、管制、消防联络方法。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Align w:val="center"/>
                </w:tcPr>
                <w:p>
                  <w:pPr>
                    <w:jc w:val="center"/>
                    <w:rPr>
                      <w:rFonts w:ascii="Calibri" w:hAnsi="Calibri" w:eastAsia="Times New Roman"/>
                      <w:sz w:val="20"/>
                      <w:szCs w:val="20"/>
                    </w:rPr>
                  </w:pPr>
                  <w:r>
                    <w:rPr>
                      <w:rFonts w:ascii="Times New Roman" w:hAnsi="Times New Roman" w:eastAsia="Times New Roman"/>
                      <w:sz w:val="20"/>
                      <w:szCs w:val="20"/>
                    </w:rPr>
                    <w:t>6</w:t>
                  </w:r>
                </w:p>
              </w:tc>
              <w:tc>
                <w:tcPr>
                  <w:tcW w:w="2268" w:type="dxa"/>
                  <w:vAlign w:val="center"/>
                </w:tcPr>
                <w:p>
                  <w:pPr>
                    <w:jc w:val="center"/>
                    <w:rPr>
                      <w:rFonts w:ascii="Calibri" w:hAnsi="Calibri"/>
                      <w:spacing w:val="-2"/>
                      <w:sz w:val="20"/>
                      <w:szCs w:val="20"/>
                    </w:rPr>
                  </w:pPr>
                  <w:r>
                    <w:rPr>
                      <w:rFonts w:ascii="Calibri" w:hAnsi="Calibri"/>
                      <w:spacing w:val="8"/>
                      <w:sz w:val="20"/>
                      <w:szCs w:val="20"/>
                    </w:rPr>
                    <w:t>应急环境监测</w:t>
                  </w:r>
                </w:p>
              </w:tc>
              <w:tc>
                <w:tcPr>
                  <w:tcW w:w="4899" w:type="dxa"/>
                  <w:vAlign w:val="center"/>
                </w:tcPr>
                <w:p>
                  <w:pPr>
                    <w:widowControl/>
                    <w:rPr>
                      <w:rFonts w:ascii="Calibri" w:hAnsi="Calibri"/>
                      <w:spacing w:val="8"/>
                      <w:sz w:val="20"/>
                      <w:szCs w:val="20"/>
                    </w:rPr>
                  </w:pPr>
                  <w:r>
                    <w:rPr>
                      <w:rFonts w:ascii="Calibri" w:hAnsi="Calibri"/>
                      <w:spacing w:val="6"/>
                      <w:sz w:val="20"/>
                      <w:szCs w:val="20"/>
                    </w:rPr>
                    <w:t>组织专业队伍负责对事故现场进行侦查检测，对事故性质、参</w:t>
                  </w:r>
                  <w:r>
                    <w:rPr>
                      <w:rFonts w:ascii="Calibri" w:hAnsi="Calibri"/>
                      <w:spacing w:val="9"/>
                      <w:sz w:val="20"/>
                      <w:szCs w:val="20"/>
                    </w:rPr>
                    <w:t>数与后果先进评估，专为指挥部门提供决策依据。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43" w:type="dxa"/>
                  <w:vAlign w:val="center"/>
                </w:tcPr>
                <w:p>
                  <w:pPr>
                    <w:jc w:val="center"/>
                    <w:rPr>
                      <w:rFonts w:ascii="Calibri" w:hAnsi="Calibri"/>
                    </w:rPr>
                  </w:pPr>
                </w:p>
                <w:p>
                  <w:pPr>
                    <w:jc w:val="center"/>
                    <w:rPr>
                      <w:rFonts w:ascii="Calibri" w:hAnsi="Calibri" w:eastAsia="Times New Roman"/>
                      <w:sz w:val="20"/>
                      <w:szCs w:val="20"/>
                    </w:rPr>
                  </w:pPr>
                  <w:r>
                    <w:rPr>
                      <w:rFonts w:ascii="Times New Roman" w:hAnsi="Times New Roman" w:eastAsia="Times New Roman"/>
                      <w:sz w:val="20"/>
                      <w:szCs w:val="20"/>
                    </w:rPr>
                    <w:t>7</w:t>
                  </w:r>
                </w:p>
              </w:tc>
              <w:tc>
                <w:tcPr>
                  <w:tcW w:w="2268" w:type="dxa"/>
                  <w:vAlign w:val="center"/>
                </w:tcPr>
                <w:p>
                  <w:pPr>
                    <w:jc w:val="center"/>
                    <w:rPr>
                      <w:rFonts w:ascii="Calibri" w:hAnsi="Calibri"/>
                      <w:spacing w:val="8"/>
                      <w:sz w:val="20"/>
                      <w:szCs w:val="20"/>
                    </w:rPr>
                  </w:pPr>
                  <w:r>
                    <w:rPr>
                      <w:rFonts w:ascii="Calibri" w:hAnsi="Calibri"/>
                      <w:spacing w:val="-2"/>
                      <w:sz w:val="20"/>
                      <w:szCs w:val="20"/>
                    </w:rPr>
                    <w:t>抢救、救援控制</w:t>
                  </w:r>
                  <w:r>
                    <w:rPr>
                      <w:rFonts w:ascii="Calibri" w:hAnsi="Calibri"/>
                      <w:spacing w:val="1"/>
                      <w:sz w:val="20"/>
                      <w:szCs w:val="20"/>
                    </w:rPr>
                    <w:t xml:space="preserve"> </w:t>
                  </w:r>
                  <w:r>
                    <w:rPr>
                      <w:rFonts w:ascii="Calibri" w:hAnsi="Calibri"/>
                      <w:spacing w:val="4"/>
                      <w:sz w:val="20"/>
                      <w:szCs w:val="20"/>
                    </w:rPr>
                    <w:t>措施</w:t>
                  </w:r>
                </w:p>
              </w:tc>
              <w:tc>
                <w:tcPr>
                  <w:tcW w:w="4899" w:type="dxa"/>
                  <w:vAlign w:val="center"/>
                </w:tcPr>
                <w:p>
                  <w:pPr>
                    <w:widowControl/>
                    <w:rPr>
                      <w:rFonts w:ascii="Calibri" w:hAnsi="Calibri"/>
                      <w:spacing w:val="6"/>
                      <w:sz w:val="20"/>
                      <w:szCs w:val="20"/>
                    </w:rPr>
                  </w:pPr>
                  <w:r>
                    <w:rPr>
                      <w:rFonts w:ascii="Calibri" w:hAnsi="Calibri"/>
                      <w:spacing w:val="6"/>
                      <w:sz w:val="20"/>
                      <w:szCs w:val="20"/>
                    </w:rPr>
                    <w:t>严格规定事故多发区、事故现场、邻近区域、控制防火区域设置控制和清除污染措施及相应设备的数量、使用方法、使用人</w:t>
                  </w:r>
                  <w:r>
                    <w:rPr>
                      <w:rFonts w:ascii="Calibri" w:hAnsi="Calibri"/>
                      <w:spacing w:val="1"/>
                      <w:sz w:val="20"/>
                      <w:szCs w:val="20"/>
                    </w:rPr>
                    <w:t>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Align w:val="center"/>
                </w:tcPr>
                <w:p>
                  <w:pPr>
                    <w:jc w:val="center"/>
                    <w:rPr>
                      <w:rFonts w:ascii="Calibri" w:hAnsi="Calibri"/>
                    </w:rPr>
                  </w:pPr>
                  <w:r>
                    <w:rPr>
                      <w:rFonts w:ascii="Times New Roman" w:hAnsi="Times New Roman" w:eastAsia="Times New Roman"/>
                      <w:sz w:val="20"/>
                      <w:szCs w:val="20"/>
                    </w:rPr>
                    <w:t>8</w:t>
                  </w:r>
                </w:p>
              </w:tc>
              <w:tc>
                <w:tcPr>
                  <w:tcW w:w="2268" w:type="dxa"/>
                  <w:vAlign w:val="center"/>
                </w:tcPr>
                <w:p>
                  <w:pPr>
                    <w:jc w:val="center"/>
                    <w:rPr>
                      <w:rFonts w:ascii="Calibri" w:hAnsi="Calibri"/>
                      <w:spacing w:val="-2"/>
                      <w:sz w:val="20"/>
                      <w:szCs w:val="20"/>
                    </w:rPr>
                  </w:pPr>
                  <w:r>
                    <w:rPr>
                      <w:rFonts w:ascii="Calibri" w:hAnsi="Calibri"/>
                      <w:spacing w:val="2"/>
                      <w:sz w:val="20"/>
                      <w:szCs w:val="20"/>
                    </w:rPr>
                    <w:t>人员紧急撤离、</w:t>
                  </w:r>
                  <w:r>
                    <w:rPr>
                      <w:rFonts w:ascii="Calibri" w:hAnsi="Calibri"/>
                      <w:spacing w:val="5"/>
                      <w:sz w:val="20"/>
                      <w:szCs w:val="20"/>
                    </w:rPr>
                    <w:t>疏散计划</w:t>
                  </w:r>
                </w:p>
              </w:tc>
              <w:tc>
                <w:tcPr>
                  <w:tcW w:w="4899" w:type="dxa"/>
                  <w:vAlign w:val="center"/>
                </w:tcPr>
                <w:p>
                  <w:pPr>
                    <w:widowControl/>
                    <w:rPr>
                      <w:rFonts w:ascii="Calibri" w:hAnsi="Calibri"/>
                      <w:spacing w:val="6"/>
                      <w:sz w:val="20"/>
                      <w:szCs w:val="20"/>
                    </w:rPr>
                  </w:pPr>
                  <w:r>
                    <w:rPr>
                      <w:rFonts w:ascii="Calibri" w:hAnsi="Calibri"/>
                      <w:spacing w:val="14"/>
                      <w:sz w:val="20"/>
                      <w:szCs w:val="20"/>
                    </w:rPr>
                    <w:t>事故现场、受事故影响的区域人员及公众对燃料燃烧控制规</w:t>
                  </w:r>
                  <w:r>
                    <w:rPr>
                      <w:rFonts w:ascii="Calibri" w:hAnsi="Calibri"/>
                      <w:spacing w:val="9"/>
                      <w:sz w:val="20"/>
                      <w:szCs w:val="20"/>
                    </w:rPr>
                    <w:t>定，制定紧急撤离组织计划和救护，医疗救护与公众健康。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Align w:val="center"/>
                </w:tcPr>
                <w:p>
                  <w:pPr>
                    <w:jc w:val="center"/>
                    <w:rPr>
                      <w:rFonts w:ascii="Calibri" w:hAnsi="Calibri" w:eastAsia="Times New Roman"/>
                      <w:sz w:val="20"/>
                      <w:szCs w:val="20"/>
                    </w:rPr>
                  </w:pPr>
                  <w:r>
                    <w:rPr>
                      <w:rFonts w:ascii="Times New Roman" w:hAnsi="Times New Roman" w:eastAsia="Times New Roman"/>
                      <w:sz w:val="20"/>
                      <w:szCs w:val="20"/>
                    </w:rPr>
                    <w:t>9</w:t>
                  </w:r>
                </w:p>
              </w:tc>
              <w:tc>
                <w:tcPr>
                  <w:tcW w:w="2268" w:type="dxa"/>
                  <w:vAlign w:val="center"/>
                </w:tcPr>
                <w:p>
                  <w:pPr>
                    <w:jc w:val="center"/>
                    <w:rPr>
                      <w:rFonts w:ascii="Calibri" w:hAnsi="Calibri"/>
                      <w:spacing w:val="2"/>
                      <w:sz w:val="20"/>
                      <w:szCs w:val="20"/>
                    </w:rPr>
                  </w:pPr>
                  <w:r>
                    <w:rPr>
                      <w:rFonts w:ascii="Calibri" w:hAnsi="Calibri"/>
                      <w:spacing w:val="8"/>
                      <w:sz w:val="20"/>
                      <w:szCs w:val="20"/>
                    </w:rPr>
                    <w:t>事故应急救援</w:t>
                  </w:r>
                  <w:r>
                    <w:rPr>
                      <w:rFonts w:ascii="Calibri" w:hAnsi="Calibri"/>
                      <w:sz w:val="20"/>
                      <w:szCs w:val="20"/>
                    </w:rPr>
                    <w:t xml:space="preserve"> </w:t>
                  </w:r>
                  <w:r>
                    <w:rPr>
                      <w:rFonts w:ascii="Calibri" w:hAnsi="Calibri"/>
                      <w:spacing w:val="6"/>
                      <w:sz w:val="20"/>
                      <w:szCs w:val="20"/>
                    </w:rPr>
                    <w:t>关闭程序</w:t>
                  </w:r>
                </w:p>
              </w:tc>
              <w:tc>
                <w:tcPr>
                  <w:tcW w:w="4899" w:type="dxa"/>
                  <w:vAlign w:val="center"/>
                </w:tcPr>
                <w:p>
                  <w:pPr>
                    <w:widowControl/>
                    <w:rPr>
                      <w:rFonts w:ascii="Calibri" w:hAnsi="Calibri"/>
                      <w:spacing w:val="14"/>
                      <w:sz w:val="20"/>
                      <w:szCs w:val="20"/>
                    </w:rPr>
                  </w:pPr>
                  <w:r>
                    <w:rPr>
                      <w:rFonts w:ascii="Calibri" w:hAnsi="Calibri"/>
                      <w:spacing w:val="6"/>
                      <w:sz w:val="20"/>
                      <w:szCs w:val="20"/>
                    </w:rPr>
                    <w:t>制定相关应急状态终止程序，事故现场，受影响范围内的善后</w:t>
                  </w:r>
                  <w:r>
                    <w:rPr>
                      <w:rFonts w:ascii="Calibri" w:hAnsi="Calibri"/>
                      <w:spacing w:val="9"/>
                      <w:sz w:val="20"/>
                      <w:szCs w:val="20"/>
                    </w:rPr>
                    <w:t>处理、恢复措施，邻近区域解除事故警戒及善后恢复措施。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Align w:val="center"/>
                </w:tcPr>
                <w:p>
                  <w:pPr>
                    <w:jc w:val="center"/>
                    <w:rPr>
                      <w:rFonts w:ascii="Calibri" w:hAnsi="Calibri" w:eastAsia="Times New Roman"/>
                      <w:sz w:val="20"/>
                      <w:szCs w:val="20"/>
                    </w:rPr>
                  </w:pPr>
                  <w:r>
                    <w:rPr>
                      <w:rFonts w:ascii="Times New Roman" w:hAnsi="Times New Roman" w:eastAsia="Times New Roman"/>
                      <w:spacing w:val="-8"/>
                      <w:sz w:val="20"/>
                      <w:szCs w:val="20"/>
                    </w:rPr>
                    <w:t>10</w:t>
                  </w:r>
                </w:p>
              </w:tc>
              <w:tc>
                <w:tcPr>
                  <w:tcW w:w="2268" w:type="dxa"/>
                  <w:vAlign w:val="center"/>
                </w:tcPr>
                <w:p>
                  <w:pPr>
                    <w:jc w:val="center"/>
                    <w:rPr>
                      <w:rFonts w:ascii="Calibri" w:hAnsi="Calibri"/>
                      <w:spacing w:val="8"/>
                      <w:sz w:val="20"/>
                      <w:szCs w:val="20"/>
                    </w:rPr>
                  </w:pPr>
                  <w:r>
                    <w:rPr>
                      <w:rFonts w:ascii="Calibri" w:hAnsi="Calibri"/>
                      <w:spacing w:val="7"/>
                      <w:sz w:val="20"/>
                      <w:szCs w:val="20"/>
                    </w:rPr>
                    <w:t>应急培训</w:t>
                  </w:r>
                </w:p>
              </w:tc>
              <w:tc>
                <w:tcPr>
                  <w:tcW w:w="4899" w:type="dxa"/>
                  <w:vAlign w:val="center"/>
                </w:tcPr>
                <w:p>
                  <w:pPr>
                    <w:widowControl/>
                    <w:rPr>
                      <w:rFonts w:ascii="Calibri" w:hAnsi="Calibri"/>
                      <w:spacing w:val="6"/>
                      <w:sz w:val="20"/>
                      <w:szCs w:val="20"/>
                    </w:rPr>
                  </w:pPr>
                  <w:r>
                    <w:rPr>
                      <w:rFonts w:ascii="Calibri" w:hAnsi="Calibri"/>
                      <w:spacing w:val="8"/>
                      <w:sz w:val="20"/>
                      <w:szCs w:val="20"/>
                    </w:rPr>
                    <w:t>定期安排有关人员进行培训与演练。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43" w:type="dxa"/>
                  <w:vAlign w:val="center"/>
                </w:tcPr>
                <w:p>
                  <w:pPr>
                    <w:jc w:val="center"/>
                    <w:rPr>
                      <w:rFonts w:ascii="Calibri" w:hAnsi="Calibri" w:eastAsia="Times New Roman"/>
                      <w:spacing w:val="-8"/>
                      <w:sz w:val="20"/>
                      <w:szCs w:val="20"/>
                    </w:rPr>
                  </w:pPr>
                  <w:r>
                    <w:rPr>
                      <w:rFonts w:ascii="Times New Roman" w:hAnsi="Times New Roman" w:eastAsia="Times New Roman"/>
                      <w:spacing w:val="-10"/>
                      <w:sz w:val="20"/>
                      <w:szCs w:val="20"/>
                    </w:rPr>
                    <w:t>11</w:t>
                  </w:r>
                </w:p>
              </w:tc>
              <w:tc>
                <w:tcPr>
                  <w:tcW w:w="2268" w:type="dxa"/>
                  <w:vAlign w:val="center"/>
                </w:tcPr>
                <w:p>
                  <w:pPr>
                    <w:pStyle w:val="143"/>
                    <w:spacing w:before="35"/>
                    <w:ind w:left="100"/>
                    <w:jc w:val="center"/>
                    <w:rPr>
                      <w:rFonts w:hint="eastAsia"/>
                      <w:color w:val="auto"/>
                      <w:sz w:val="20"/>
                      <w:szCs w:val="20"/>
                      <w:lang w:eastAsia="zh-CN"/>
                    </w:rPr>
                  </w:pPr>
                  <w:r>
                    <w:rPr>
                      <w:color w:val="auto"/>
                      <w:spacing w:val="8"/>
                      <w:sz w:val="20"/>
                      <w:szCs w:val="20"/>
                      <w:lang w:eastAsia="zh-CN"/>
                    </w:rPr>
                    <w:t>应急环境预监测与事故后评</w:t>
                  </w:r>
                  <w:r>
                    <w:rPr>
                      <w:color w:val="auto"/>
                      <w:sz w:val="20"/>
                      <w:szCs w:val="20"/>
                      <w:lang w:eastAsia="zh-CN"/>
                    </w:rPr>
                    <w:t>估</w:t>
                  </w:r>
                </w:p>
              </w:tc>
              <w:tc>
                <w:tcPr>
                  <w:tcW w:w="4899" w:type="dxa"/>
                  <w:vAlign w:val="center"/>
                </w:tcPr>
                <w:p>
                  <w:pPr>
                    <w:widowControl/>
                    <w:rPr>
                      <w:rFonts w:ascii="Calibri" w:hAnsi="Calibri"/>
                      <w:spacing w:val="8"/>
                      <w:sz w:val="20"/>
                      <w:szCs w:val="20"/>
                    </w:rPr>
                  </w:pPr>
                  <w:r>
                    <w:rPr>
                      <w:rFonts w:ascii="Calibri" w:hAnsi="Calibri"/>
                      <w:spacing w:val="5"/>
                      <w:sz w:val="20"/>
                      <w:szCs w:val="20"/>
                    </w:rPr>
                    <w:t>由专业队伍负责对事故现场进行应急预测，对事故性质、严重</w:t>
                  </w:r>
                  <w:r>
                    <w:rPr>
                      <w:rFonts w:ascii="Calibri" w:hAnsi="Calibri"/>
                      <w:spacing w:val="6"/>
                      <w:sz w:val="20"/>
                      <w:szCs w:val="20"/>
                    </w:rPr>
                    <w:t>程度与所造成的环境危害后果进行评估，吸取经验教训避免再</w:t>
                  </w:r>
                  <w:r>
                    <w:rPr>
                      <w:rFonts w:ascii="Calibri" w:hAnsi="Calibri"/>
                      <w:spacing w:val="8"/>
                      <w:sz w:val="20"/>
                      <w:szCs w:val="20"/>
                    </w:rPr>
                    <w:t>次发生事故，为指挥部提供决策依据。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Align w:val="center"/>
                </w:tcPr>
                <w:p>
                  <w:pPr>
                    <w:jc w:val="center"/>
                    <w:rPr>
                      <w:rFonts w:ascii="Calibri" w:hAnsi="Calibri"/>
                    </w:rPr>
                  </w:pPr>
                  <w:r>
                    <w:rPr>
                      <w:rFonts w:ascii="Times New Roman" w:hAnsi="Times New Roman" w:eastAsia="Times New Roman"/>
                      <w:spacing w:val="-8"/>
                      <w:sz w:val="20"/>
                      <w:szCs w:val="20"/>
                    </w:rPr>
                    <w:t>12</w:t>
                  </w:r>
                </w:p>
              </w:tc>
              <w:tc>
                <w:tcPr>
                  <w:tcW w:w="2268" w:type="dxa"/>
                  <w:vAlign w:val="center"/>
                </w:tcPr>
                <w:p>
                  <w:pPr>
                    <w:spacing w:before="35"/>
                    <w:ind w:left="100"/>
                    <w:jc w:val="center"/>
                    <w:rPr>
                      <w:rFonts w:ascii="Calibri" w:hAnsi="Calibri"/>
                      <w:spacing w:val="8"/>
                      <w:sz w:val="20"/>
                      <w:szCs w:val="20"/>
                    </w:rPr>
                  </w:pPr>
                  <w:r>
                    <w:rPr>
                      <w:rFonts w:ascii="Calibri" w:hAnsi="Calibri"/>
                      <w:spacing w:val="2"/>
                      <w:sz w:val="20"/>
                      <w:szCs w:val="20"/>
                    </w:rPr>
                    <w:t>应急防护措施、</w:t>
                  </w:r>
                  <w:r>
                    <w:rPr>
                      <w:rFonts w:ascii="Calibri" w:hAnsi="Calibri"/>
                      <w:spacing w:val="7"/>
                      <w:sz w:val="20"/>
                      <w:szCs w:val="20"/>
                    </w:rPr>
                    <w:t>消除泄露措施及需使用器材</w:t>
                  </w:r>
                </w:p>
              </w:tc>
              <w:tc>
                <w:tcPr>
                  <w:tcW w:w="4899" w:type="dxa"/>
                  <w:vAlign w:val="center"/>
                </w:tcPr>
                <w:p>
                  <w:pPr>
                    <w:widowControl/>
                    <w:rPr>
                      <w:rFonts w:ascii="Calibri" w:hAnsi="Calibri"/>
                      <w:spacing w:val="5"/>
                      <w:sz w:val="20"/>
                      <w:szCs w:val="20"/>
                    </w:rPr>
                  </w:pPr>
                  <w:r>
                    <w:rPr>
                      <w:rFonts w:ascii="Calibri" w:hAnsi="Calibri"/>
                      <w:spacing w:val="6"/>
                      <w:sz w:val="20"/>
                      <w:szCs w:val="20"/>
                    </w:rPr>
                    <w:t>控制事故、防止扩大、蔓延及连锁反应。降低危害，相应的设施器材配备。控制防火区域，控制和消除环境污染的措施及相</w:t>
                  </w:r>
                  <w:r>
                    <w:rPr>
                      <w:rFonts w:ascii="Calibri" w:hAnsi="Calibri"/>
                      <w:spacing w:val="7"/>
                      <w:sz w:val="20"/>
                      <w:szCs w:val="20"/>
                    </w:rPr>
                    <w:t>应的设备配备。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Align w:val="center"/>
                </w:tcPr>
                <w:p>
                  <w:pPr>
                    <w:jc w:val="center"/>
                    <w:rPr>
                      <w:rFonts w:ascii="Calibri" w:hAnsi="Calibri"/>
                    </w:rPr>
                  </w:pPr>
                  <w:r>
                    <w:rPr>
                      <w:rFonts w:ascii="Times New Roman" w:hAnsi="Times New Roman" w:eastAsia="Times New Roman"/>
                      <w:spacing w:val="-8"/>
                      <w:sz w:val="20"/>
                      <w:szCs w:val="20"/>
                    </w:rPr>
                    <w:t>13</w:t>
                  </w:r>
                </w:p>
              </w:tc>
              <w:tc>
                <w:tcPr>
                  <w:tcW w:w="2268" w:type="dxa"/>
                  <w:vAlign w:val="center"/>
                </w:tcPr>
                <w:p>
                  <w:pPr>
                    <w:pStyle w:val="143"/>
                    <w:spacing w:before="34"/>
                    <w:jc w:val="center"/>
                    <w:rPr>
                      <w:rFonts w:hint="eastAsia"/>
                      <w:color w:val="auto"/>
                      <w:sz w:val="20"/>
                      <w:szCs w:val="20"/>
                      <w:lang w:eastAsia="zh-CN"/>
                    </w:rPr>
                  </w:pPr>
                  <w:r>
                    <w:rPr>
                      <w:color w:val="auto"/>
                      <w:spacing w:val="2"/>
                      <w:sz w:val="20"/>
                      <w:szCs w:val="20"/>
                      <w:lang w:eastAsia="zh-CN"/>
                    </w:rPr>
                    <w:t>应急剂量控制</w:t>
                  </w:r>
                  <w:r>
                    <w:rPr>
                      <w:rFonts w:hint="eastAsia"/>
                      <w:color w:val="auto"/>
                      <w:spacing w:val="2"/>
                      <w:sz w:val="20"/>
                      <w:szCs w:val="20"/>
                      <w:lang w:eastAsia="zh-CN"/>
                    </w:rPr>
                    <w:t>、</w:t>
                  </w:r>
                  <w:r>
                    <w:rPr>
                      <w:color w:val="auto"/>
                      <w:spacing w:val="2"/>
                      <w:sz w:val="20"/>
                      <w:szCs w:val="20"/>
                      <w:lang w:eastAsia="zh-CN"/>
                    </w:rPr>
                    <w:t>撤离组织计划、</w:t>
                  </w:r>
                  <w:r>
                    <w:rPr>
                      <w:color w:val="auto"/>
                      <w:spacing w:val="6"/>
                      <w:sz w:val="20"/>
                      <w:szCs w:val="20"/>
                      <w:lang w:eastAsia="zh-CN"/>
                    </w:rPr>
                    <w:t>医疗救护与保</w:t>
                  </w:r>
                  <w:r>
                    <w:rPr>
                      <w:color w:val="auto"/>
                      <w:spacing w:val="7"/>
                      <w:sz w:val="20"/>
                      <w:szCs w:val="20"/>
                      <w:lang w:eastAsia="zh-CN"/>
                    </w:rPr>
                    <w:t>护公众健康</w:t>
                  </w:r>
                </w:p>
              </w:tc>
              <w:tc>
                <w:tcPr>
                  <w:tcW w:w="4899" w:type="dxa"/>
                  <w:vAlign w:val="center"/>
                </w:tcPr>
                <w:p>
                  <w:pPr>
                    <w:widowControl/>
                    <w:rPr>
                      <w:rFonts w:ascii="Calibri" w:hAnsi="Calibri"/>
                      <w:spacing w:val="6"/>
                      <w:sz w:val="20"/>
                      <w:szCs w:val="20"/>
                    </w:rPr>
                  </w:pPr>
                  <w:r>
                    <w:rPr>
                      <w:rFonts w:ascii="Calibri" w:hAnsi="Calibri"/>
                      <w:spacing w:val="14"/>
                      <w:sz w:val="20"/>
                      <w:szCs w:val="20"/>
                    </w:rPr>
                    <w:t>事故处理人员制定现场及邻近装置人员的撤离组织计划和紧</w:t>
                  </w:r>
                  <w:r>
                    <w:rPr>
                      <w:rFonts w:ascii="Calibri" w:hAnsi="Calibri"/>
                      <w:spacing w:val="9"/>
                      <w:sz w:val="20"/>
                      <w:szCs w:val="20"/>
                    </w:rPr>
                    <w:t>急救护方案。制定公众的疏散组织计划和紧急救护</w:t>
                  </w:r>
                  <w:r>
                    <w:rPr>
                      <w:rFonts w:ascii="Calibri" w:hAnsi="Calibri"/>
                      <w:spacing w:val="8"/>
                      <w:sz w:val="20"/>
                      <w:szCs w:val="20"/>
                    </w:rPr>
                    <w:t>方案。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Align w:val="center"/>
                </w:tcPr>
                <w:p>
                  <w:pPr>
                    <w:jc w:val="center"/>
                    <w:rPr>
                      <w:rFonts w:ascii="Calibri" w:hAnsi="Calibri"/>
                    </w:rPr>
                  </w:pPr>
                  <w:r>
                    <w:rPr>
                      <w:rFonts w:ascii="Times New Roman" w:hAnsi="Times New Roman" w:eastAsia="Times New Roman"/>
                      <w:spacing w:val="-8"/>
                      <w:sz w:val="20"/>
                      <w:szCs w:val="20"/>
                    </w:rPr>
                    <w:t>14</w:t>
                  </w:r>
                </w:p>
              </w:tc>
              <w:tc>
                <w:tcPr>
                  <w:tcW w:w="2268" w:type="dxa"/>
                  <w:vAlign w:val="center"/>
                </w:tcPr>
                <w:p>
                  <w:pPr>
                    <w:spacing w:before="34"/>
                    <w:jc w:val="center"/>
                    <w:rPr>
                      <w:rFonts w:ascii="Calibri" w:hAnsi="Calibri"/>
                      <w:spacing w:val="2"/>
                      <w:sz w:val="20"/>
                      <w:szCs w:val="20"/>
                    </w:rPr>
                  </w:pPr>
                  <w:r>
                    <w:rPr>
                      <w:rFonts w:ascii="Calibri" w:hAnsi="Calibri"/>
                      <w:spacing w:val="8"/>
                      <w:sz w:val="20"/>
                      <w:szCs w:val="20"/>
                    </w:rPr>
                    <w:t>应急状态终止</w:t>
                  </w:r>
                  <w:r>
                    <w:rPr>
                      <w:rFonts w:ascii="Calibri" w:hAnsi="Calibri"/>
                      <w:spacing w:val="7"/>
                      <w:sz w:val="20"/>
                      <w:szCs w:val="20"/>
                    </w:rPr>
                    <w:t>与恢复措施</w:t>
                  </w:r>
                </w:p>
              </w:tc>
              <w:tc>
                <w:tcPr>
                  <w:tcW w:w="4899" w:type="dxa"/>
                  <w:vAlign w:val="center"/>
                </w:tcPr>
                <w:p>
                  <w:pPr>
                    <w:widowControl/>
                    <w:rPr>
                      <w:rFonts w:ascii="Calibri" w:hAnsi="Calibri"/>
                      <w:spacing w:val="14"/>
                      <w:sz w:val="20"/>
                      <w:szCs w:val="20"/>
                    </w:rPr>
                  </w:pPr>
                  <w:r>
                    <w:rPr>
                      <w:rFonts w:ascii="Calibri" w:hAnsi="Calibri"/>
                      <w:spacing w:val="8"/>
                      <w:sz w:val="20"/>
                      <w:szCs w:val="20"/>
                    </w:rPr>
                    <w:t>规定应急状态终止程序：事故现场善后处理，恢复生产措施。解除事故警戒、公众返回和善后恢复措施。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43" w:type="dxa"/>
                  <w:vAlign w:val="center"/>
                </w:tcPr>
                <w:p>
                  <w:pPr>
                    <w:jc w:val="center"/>
                    <w:rPr>
                      <w:rFonts w:ascii="Calibri" w:hAnsi="Calibri" w:eastAsia="Times New Roman"/>
                      <w:spacing w:val="-8"/>
                      <w:sz w:val="20"/>
                      <w:szCs w:val="20"/>
                    </w:rPr>
                  </w:pPr>
                  <w:r>
                    <w:rPr>
                      <w:rFonts w:ascii="Times New Roman" w:hAnsi="Times New Roman" w:eastAsia="Times New Roman"/>
                      <w:spacing w:val="-8"/>
                      <w:sz w:val="20"/>
                      <w:szCs w:val="20"/>
                    </w:rPr>
                    <w:t>15</w:t>
                  </w:r>
                </w:p>
              </w:tc>
              <w:tc>
                <w:tcPr>
                  <w:tcW w:w="2268" w:type="dxa"/>
                  <w:vAlign w:val="center"/>
                </w:tcPr>
                <w:p>
                  <w:pPr>
                    <w:spacing w:before="34"/>
                    <w:jc w:val="center"/>
                    <w:rPr>
                      <w:rFonts w:ascii="Calibri" w:hAnsi="Calibri"/>
                      <w:spacing w:val="8"/>
                      <w:sz w:val="20"/>
                      <w:szCs w:val="20"/>
                    </w:rPr>
                  </w:pPr>
                  <w:r>
                    <w:rPr>
                      <w:rFonts w:ascii="Calibri" w:hAnsi="Calibri"/>
                      <w:spacing w:val="7"/>
                      <w:sz w:val="20"/>
                      <w:szCs w:val="20"/>
                    </w:rPr>
                    <w:t>人员培训与演</w:t>
                  </w:r>
                  <w:r>
                    <w:rPr>
                      <w:rFonts w:ascii="Calibri" w:hAnsi="Calibri"/>
                      <w:sz w:val="20"/>
                      <w:szCs w:val="20"/>
                    </w:rPr>
                    <w:t>习</w:t>
                  </w:r>
                </w:p>
              </w:tc>
              <w:tc>
                <w:tcPr>
                  <w:tcW w:w="4899" w:type="dxa"/>
                  <w:vAlign w:val="center"/>
                </w:tcPr>
                <w:p>
                  <w:pPr>
                    <w:widowControl/>
                    <w:rPr>
                      <w:rFonts w:ascii="Calibri" w:hAnsi="Calibri"/>
                      <w:spacing w:val="8"/>
                      <w:sz w:val="20"/>
                      <w:szCs w:val="20"/>
                    </w:rPr>
                  </w:pPr>
                  <w:r>
                    <w:rPr>
                      <w:rFonts w:ascii="Calibri" w:hAnsi="Calibri"/>
                      <w:spacing w:val="8"/>
                      <w:sz w:val="20"/>
                      <w:szCs w:val="20"/>
                    </w:rPr>
                    <w:t>应急计划制定后，平时安排事故处理人员进</w:t>
                  </w:r>
                  <w:r>
                    <w:rPr>
                      <w:rFonts w:ascii="Calibri" w:hAnsi="Calibri"/>
                      <w:spacing w:val="7"/>
                      <w:sz w:val="20"/>
                      <w:szCs w:val="20"/>
                    </w:rPr>
                    <w:t>行相关知识培训，</w:t>
                  </w:r>
                  <w:r>
                    <w:rPr>
                      <w:rFonts w:ascii="Calibri" w:hAnsi="Calibri"/>
                      <w:spacing w:val="9"/>
                      <w:sz w:val="20"/>
                      <w:szCs w:val="20"/>
                    </w:rPr>
                    <w:t>并进行事故应急处理演习；对工人进行安全卫生教</w:t>
                  </w:r>
                  <w:r>
                    <w:rPr>
                      <w:rFonts w:ascii="Calibri" w:hAnsi="Calibri"/>
                      <w:spacing w:val="8"/>
                      <w:sz w:val="20"/>
                      <w:szCs w:val="20"/>
                    </w:rPr>
                    <w:t>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Align w:val="center"/>
                </w:tcPr>
                <w:p>
                  <w:pPr>
                    <w:jc w:val="center"/>
                    <w:rPr>
                      <w:rFonts w:ascii="Times New Roman" w:hAnsi="Times New Roman" w:eastAsia="Times New Roman"/>
                      <w:spacing w:val="-8"/>
                      <w:sz w:val="20"/>
                      <w:szCs w:val="20"/>
                    </w:rPr>
                  </w:pPr>
                  <w:r>
                    <w:rPr>
                      <w:rFonts w:ascii="Times New Roman" w:hAnsi="Times New Roman" w:eastAsia="Times New Roman"/>
                      <w:spacing w:val="-8"/>
                      <w:sz w:val="20"/>
                      <w:szCs w:val="20"/>
                    </w:rPr>
                    <w:t>16</w:t>
                  </w:r>
                </w:p>
              </w:tc>
              <w:tc>
                <w:tcPr>
                  <w:tcW w:w="2268" w:type="dxa"/>
                  <w:vAlign w:val="center"/>
                </w:tcPr>
                <w:p>
                  <w:pPr>
                    <w:spacing w:before="34"/>
                    <w:jc w:val="center"/>
                    <w:rPr>
                      <w:rFonts w:ascii="Calibri" w:hAnsi="Calibri"/>
                      <w:spacing w:val="7"/>
                      <w:sz w:val="20"/>
                      <w:szCs w:val="20"/>
                    </w:rPr>
                  </w:pPr>
                  <w:r>
                    <w:rPr>
                      <w:rFonts w:ascii="Calibri" w:hAnsi="Calibri"/>
                      <w:spacing w:val="7"/>
                      <w:sz w:val="20"/>
                      <w:szCs w:val="20"/>
                    </w:rPr>
                    <w:t>公众教育与信息</w:t>
                  </w:r>
                </w:p>
              </w:tc>
              <w:tc>
                <w:tcPr>
                  <w:tcW w:w="4899" w:type="dxa"/>
                  <w:vAlign w:val="center"/>
                </w:tcPr>
                <w:p>
                  <w:pPr>
                    <w:widowControl/>
                    <w:rPr>
                      <w:rFonts w:ascii="Calibri" w:hAnsi="Calibri"/>
                      <w:spacing w:val="7"/>
                      <w:sz w:val="20"/>
                      <w:szCs w:val="20"/>
                    </w:rPr>
                  </w:pPr>
                  <w:r>
                    <w:rPr>
                      <w:rFonts w:ascii="Calibri" w:hAnsi="Calibri"/>
                      <w:spacing w:val="7"/>
                      <w:sz w:val="20"/>
                      <w:szCs w:val="20"/>
                    </w:rPr>
                    <w:t>对邻近地区公众开展环境风险事故预防措施、应急只是培训并定期发布相关信息。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Align w:val="center"/>
                </w:tcPr>
                <w:p>
                  <w:pPr>
                    <w:jc w:val="center"/>
                    <w:rPr>
                      <w:rFonts w:ascii="Times New Roman" w:hAnsi="Times New Roman" w:eastAsia="Times New Roman"/>
                      <w:spacing w:val="-8"/>
                      <w:sz w:val="20"/>
                      <w:szCs w:val="20"/>
                    </w:rPr>
                  </w:pPr>
                  <w:r>
                    <w:rPr>
                      <w:rFonts w:ascii="Times New Roman" w:hAnsi="Times New Roman" w:eastAsia="Times New Roman"/>
                      <w:spacing w:val="-8"/>
                      <w:sz w:val="20"/>
                      <w:szCs w:val="20"/>
                    </w:rPr>
                    <w:t>17</w:t>
                  </w:r>
                </w:p>
              </w:tc>
              <w:tc>
                <w:tcPr>
                  <w:tcW w:w="2268" w:type="dxa"/>
                  <w:vAlign w:val="center"/>
                </w:tcPr>
                <w:p>
                  <w:pPr>
                    <w:spacing w:before="34"/>
                    <w:jc w:val="center"/>
                    <w:rPr>
                      <w:rFonts w:ascii="Calibri" w:hAnsi="Calibri"/>
                      <w:spacing w:val="7"/>
                      <w:sz w:val="20"/>
                      <w:szCs w:val="20"/>
                    </w:rPr>
                  </w:pPr>
                  <w:r>
                    <w:rPr>
                      <w:rFonts w:ascii="Calibri" w:hAnsi="Calibri"/>
                      <w:spacing w:val="7"/>
                      <w:sz w:val="20"/>
                      <w:szCs w:val="20"/>
                    </w:rPr>
                    <w:t>记录和报告</w:t>
                  </w:r>
                </w:p>
              </w:tc>
              <w:tc>
                <w:tcPr>
                  <w:tcW w:w="4899" w:type="dxa"/>
                  <w:vAlign w:val="center"/>
                </w:tcPr>
                <w:p>
                  <w:pPr>
                    <w:widowControl/>
                    <w:rPr>
                      <w:rFonts w:ascii="Calibri" w:hAnsi="Calibri"/>
                      <w:spacing w:val="7"/>
                      <w:sz w:val="20"/>
                      <w:szCs w:val="20"/>
                    </w:rPr>
                  </w:pPr>
                  <w:r>
                    <w:rPr>
                      <w:rFonts w:ascii="Calibri" w:hAnsi="Calibri"/>
                      <w:spacing w:val="7"/>
                      <w:sz w:val="20"/>
                      <w:szCs w:val="20"/>
                    </w:rPr>
                    <w:t>设置应急事故专门记录，建立档案和报告制度，专门部门负责管理。</w:t>
                  </w:r>
                </w:p>
              </w:tc>
            </w:tr>
          </w:tbl>
          <w:p>
            <w:pPr>
              <w:adjustRightInd w:val="0"/>
              <w:snapToGrid w:val="0"/>
              <w:spacing w:line="360" w:lineRule="auto"/>
              <w:ind w:firstLine="420" w:firstLineChars="200"/>
              <w:jc w:val="left"/>
              <w:rPr>
                <w:szCs w:val="21"/>
              </w:rPr>
            </w:pPr>
            <w:r>
              <w:rPr>
                <w:rFonts w:hint="eastAsia"/>
                <w:szCs w:val="21"/>
              </w:rPr>
              <w:t>注：其他未尽事宜按照安全管理部门的要求执行。</w:t>
            </w:r>
          </w:p>
          <w:p>
            <w:pPr>
              <w:adjustRightInd w:val="0"/>
              <w:snapToGrid w:val="0"/>
              <w:spacing w:line="360" w:lineRule="auto"/>
              <w:ind w:firstLine="480" w:firstLineChars="200"/>
              <w:rPr>
                <w:sz w:val="24"/>
              </w:rPr>
            </w:pPr>
            <w:r>
              <w:rPr>
                <w:rFonts w:hint="eastAsia"/>
                <w:sz w:val="24"/>
              </w:rPr>
              <w:t>（五）应急组织机构、人员</w:t>
            </w:r>
          </w:p>
          <w:p>
            <w:pPr>
              <w:adjustRightInd w:val="0"/>
              <w:snapToGrid w:val="0"/>
              <w:spacing w:line="360" w:lineRule="auto"/>
              <w:ind w:firstLine="480" w:firstLineChars="200"/>
              <w:rPr>
                <w:sz w:val="24"/>
              </w:rPr>
            </w:pPr>
            <w:r>
              <w:rPr>
                <w:rFonts w:hint="eastAsia"/>
                <w:sz w:val="24"/>
              </w:rPr>
              <w:t>1、机构设置</w:t>
            </w:r>
          </w:p>
          <w:p>
            <w:pPr>
              <w:adjustRightInd w:val="0"/>
              <w:snapToGrid w:val="0"/>
              <w:spacing w:line="360" w:lineRule="auto"/>
              <w:ind w:firstLine="480" w:firstLineChars="200"/>
              <w:rPr>
                <w:sz w:val="24"/>
              </w:rPr>
            </w:pPr>
            <w:r>
              <w:rPr>
                <w:rFonts w:hint="eastAsia"/>
                <w:sz w:val="24"/>
              </w:rPr>
              <w:t>突发性环境污染事故应急救援办公室为公司应急救援常设组织与管理机构，地点设在安全环保部。</w:t>
            </w:r>
          </w:p>
          <w:p>
            <w:pPr>
              <w:adjustRightInd w:val="0"/>
              <w:snapToGrid w:val="0"/>
              <w:spacing w:line="360" w:lineRule="auto"/>
              <w:ind w:firstLine="480" w:firstLineChars="200"/>
              <w:rPr>
                <w:sz w:val="24"/>
              </w:rPr>
            </w:pPr>
            <w:r>
              <w:rPr>
                <w:rFonts w:hint="eastAsia"/>
                <w:sz w:val="24"/>
              </w:rPr>
              <w:t>2、人员组成</w:t>
            </w:r>
          </w:p>
          <w:p>
            <w:pPr>
              <w:adjustRightInd w:val="0"/>
              <w:snapToGrid w:val="0"/>
              <w:spacing w:line="360" w:lineRule="auto"/>
              <w:ind w:firstLine="480" w:firstLineChars="200"/>
              <w:rPr>
                <w:sz w:val="24"/>
              </w:rPr>
            </w:pPr>
            <w:r>
              <w:rPr>
                <w:rFonts w:hint="eastAsia"/>
                <w:sz w:val="24"/>
              </w:rPr>
              <w:t>成立由总经理、副总经理及生产、安全、环保、保卫等部门组成的重大事故应急救援小组，一旦发生事故，救援小组便及时例行其相应的职责，处理事故。</w:t>
            </w:r>
          </w:p>
          <w:p>
            <w:pPr>
              <w:adjustRightInd w:val="0"/>
              <w:snapToGrid w:val="0"/>
              <w:spacing w:line="360" w:lineRule="auto"/>
              <w:ind w:firstLine="480" w:firstLineChars="200"/>
              <w:rPr>
                <w:sz w:val="24"/>
              </w:rPr>
            </w:pPr>
            <w:r>
              <w:rPr>
                <w:rFonts w:hint="eastAsia"/>
                <w:sz w:val="24"/>
              </w:rPr>
              <w:t>应急救援系统人员安排及功能分配如下：</w:t>
            </w:r>
          </w:p>
          <w:p>
            <w:pPr>
              <w:adjustRightInd w:val="0"/>
              <w:snapToGrid w:val="0"/>
              <w:spacing w:line="360" w:lineRule="auto"/>
              <w:ind w:firstLine="480" w:firstLineChars="200"/>
              <w:rPr>
                <w:sz w:val="24"/>
              </w:rPr>
            </w:pPr>
            <w:r>
              <w:rPr>
                <w:rFonts w:hint="eastAsia"/>
                <w:sz w:val="24"/>
              </w:rPr>
              <w:t>总指挥：总经理，发生重大危险事故时，由总指挥部发布和解除应急救援命令、信号，组织指挥救援队伍实施救援行动，向上级汇报和友邻通报事故情况，必要时向有关单位发出救援请求，组织事故调查，总结应急救援经验教训。</w:t>
            </w:r>
          </w:p>
          <w:p>
            <w:pPr>
              <w:adjustRightInd w:val="0"/>
              <w:snapToGrid w:val="0"/>
              <w:spacing w:line="360" w:lineRule="auto"/>
              <w:ind w:firstLine="480" w:firstLineChars="200"/>
              <w:rPr>
                <w:sz w:val="24"/>
              </w:rPr>
            </w:pPr>
            <w:r>
              <w:rPr>
                <w:rFonts w:hint="eastAsia"/>
                <w:sz w:val="24"/>
              </w:rPr>
              <w:t>副总指挥：副经理，协助总指挥负责救援的具体指挥工作，当总指挥不在现场时，负责指挥应急救援工作。</w:t>
            </w:r>
          </w:p>
          <w:p>
            <w:pPr>
              <w:adjustRightInd w:val="0"/>
              <w:snapToGrid w:val="0"/>
              <w:spacing w:line="360" w:lineRule="auto"/>
              <w:ind w:firstLine="480" w:firstLineChars="200"/>
              <w:rPr>
                <w:sz w:val="24"/>
              </w:rPr>
            </w:pPr>
            <w:r>
              <w:rPr>
                <w:rFonts w:hint="eastAsia"/>
                <w:sz w:val="24"/>
              </w:rPr>
              <w:t>安全保卫</w:t>
            </w:r>
            <w:r>
              <w:rPr>
                <w:sz w:val="24"/>
              </w:rPr>
              <w:t>：</w:t>
            </w:r>
            <w:r>
              <w:rPr>
                <w:rFonts w:hint="eastAsia"/>
                <w:sz w:val="24"/>
              </w:rPr>
              <w:t>协助总指挥做好事故情况通报及事故处置工作，负责警戒、治安保卫、疏散道路管制工作。</w:t>
            </w:r>
          </w:p>
          <w:p>
            <w:pPr>
              <w:adjustRightInd w:val="0"/>
              <w:snapToGrid w:val="0"/>
              <w:spacing w:line="360" w:lineRule="auto"/>
              <w:ind w:firstLine="480" w:firstLineChars="200"/>
              <w:rPr>
                <w:sz w:val="24"/>
              </w:rPr>
            </w:pPr>
            <w:r>
              <w:rPr>
                <w:rFonts w:hint="eastAsia"/>
                <w:sz w:val="24"/>
              </w:rPr>
              <w:t>通信联络：协助总指挥负责抢险、抢修的现场指挥工作。</w:t>
            </w:r>
          </w:p>
          <w:p>
            <w:pPr>
              <w:adjustRightInd w:val="0"/>
              <w:snapToGrid w:val="0"/>
              <w:spacing w:line="360" w:lineRule="auto"/>
              <w:ind w:firstLine="480" w:firstLineChars="200"/>
              <w:rPr>
                <w:sz w:val="24"/>
              </w:rPr>
            </w:pPr>
            <w:r>
              <w:rPr>
                <w:rFonts w:hint="eastAsia"/>
                <w:sz w:val="24"/>
              </w:rPr>
              <w:t>消防：以公司消防为主，负责担负灭火、抢救工作。</w:t>
            </w:r>
          </w:p>
          <w:p>
            <w:pPr>
              <w:adjustRightInd w:val="0"/>
              <w:snapToGrid w:val="0"/>
              <w:spacing w:line="360" w:lineRule="auto"/>
              <w:ind w:firstLine="480" w:firstLineChars="200"/>
              <w:rPr>
                <w:sz w:val="24"/>
              </w:rPr>
            </w:pPr>
            <w:r>
              <w:rPr>
                <w:sz w:val="24"/>
              </w:rPr>
              <w:t>（六）环境风险结论</w:t>
            </w:r>
          </w:p>
          <w:p>
            <w:pPr>
              <w:adjustRightInd w:val="0"/>
              <w:snapToGrid w:val="0"/>
              <w:spacing w:line="360" w:lineRule="auto"/>
              <w:ind w:firstLine="480" w:firstLineChars="200"/>
              <w:rPr>
                <w:sz w:val="24"/>
              </w:rPr>
            </w:pPr>
            <w:r>
              <w:rPr>
                <w:sz w:val="24"/>
              </w:rPr>
              <w:t>本项目将采取切实可行的风险事故防范措施，发生风险事故时应立即启动 应急预案，在严格落实风险管理及应急措施后，可将风险发生的概率和影响后 果降低到最低限度。因此，本项目的环境风险可以接受</w:t>
            </w:r>
            <w:r>
              <w:rPr>
                <w:rFonts w:hint="eastAsia"/>
                <w:sz w:val="24"/>
              </w:rPr>
              <w:t>。</w:t>
            </w:r>
          </w:p>
        </w:tc>
      </w:tr>
    </w:tbl>
    <w:p>
      <w:pPr>
        <w:pStyle w:val="52"/>
        <w:ind w:firstLine="420"/>
        <w:rPr>
          <w:rFonts w:cs="Times New Roman"/>
          <w:color w:val="auto"/>
        </w:rPr>
        <w:sectPr>
          <w:pgSz w:w="11907" w:h="16840"/>
          <w:pgMar w:top="1701" w:right="1531" w:bottom="2127" w:left="1531" w:header="851" w:footer="851" w:gutter="0"/>
          <w:cols w:space="720" w:num="1"/>
          <w:docGrid w:linePitch="312" w:charSpace="0"/>
        </w:sectPr>
      </w:pPr>
    </w:p>
    <w:p>
      <w:pPr>
        <w:pStyle w:val="15"/>
        <w:adjustRightInd w:val="0"/>
        <w:snapToGrid w:val="0"/>
        <w:spacing w:before="0" w:beforeAutospacing="0" w:after="0" w:afterAutospacing="0"/>
        <w:outlineLvl w:val="0"/>
        <w:rPr>
          <w:rFonts w:ascii="Times New Roman" w:hAnsi="Times New Roman"/>
          <w:snapToGrid w:val="0"/>
          <w:sz w:val="30"/>
          <w:szCs w:val="30"/>
        </w:rPr>
      </w:pPr>
      <w:bookmarkStart w:id="24" w:name="_Toc210915804"/>
      <w:r>
        <w:rPr>
          <w:rFonts w:ascii="Times New Roman" w:hAnsi="Times New Roman"/>
          <w:snapToGrid w:val="0"/>
          <w:sz w:val="30"/>
          <w:szCs w:val="30"/>
        </w:rPr>
        <w:t>五、</w:t>
      </w:r>
      <w:bookmarkStart w:id="25" w:name="_Hlk54167917"/>
      <w:r>
        <w:rPr>
          <w:rFonts w:ascii="Times New Roman" w:hAnsi="Times New Roman"/>
          <w:snapToGrid w:val="0"/>
          <w:sz w:val="30"/>
          <w:szCs w:val="30"/>
        </w:rPr>
        <w:t>环境保护措施监督检查清单</w:t>
      </w:r>
      <w:bookmarkEnd w:id="24"/>
      <w:bookmarkEnd w:id="25"/>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41"/>
        <w:gridCol w:w="1984"/>
        <w:gridCol w:w="1134"/>
        <w:gridCol w:w="2977"/>
        <w:gridCol w:w="186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7" w:hRule="atLeast"/>
          <w:jc w:val="center"/>
        </w:trPr>
        <w:tc>
          <w:tcPr>
            <w:tcW w:w="841" w:type="dxa"/>
            <w:tcBorders>
              <w:tl2br w:val="single" w:color="auto" w:sz="4" w:space="0"/>
            </w:tcBorders>
          </w:tcPr>
          <w:p>
            <w:pPr>
              <w:jc w:val="right"/>
              <w:rPr>
                <w:sz w:val="24"/>
              </w:rPr>
            </w:pPr>
            <w:r>
              <w:rPr>
                <w:sz w:val="24"/>
              </w:rPr>
              <w:t>内容</w:t>
            </w:r>
          </w:p>
          <w:p>
            <w:pPr>
              <w:jc w:val="right"/>
              <w:rPr>
                <w:sz w:val="24"/>
              </w:rPr>
            </w:pPr>
          </w:p>
          <w:p>
            <w:pPr>
              <w:rPr>
                <w:sz w:val="24"/>
              </w:rPr>
            </w:pPr>
            <w:r>
              <w:rPr>
                <w:sz w:val="24"/>
              </w:rPr>
              <w:t>要素</w:t>
            </w:r>
          </w:p>
        </w:tc>
        <w:tc>
          <w:tcPr>
            <w:tcW w:w="1984" w:type="dxa"/>
            <w:vAlign w:val="center"/>
          </w:tcPr>
          <w:p>
            <w:pPr>
              <w:rPr>
                <w:sz w:val="24"/>
              </w:rPr>
            </w:pPr>
            <w:r>
              <w:rPr>
                <w:sz w:val="24"/>
              </w:rPr>
              <w:t>排放口（编号、名称）/污染源</w:t>
            </w:r>
          </w:p>
        </w:tc>
        <w:tc>
          <w:tcPr>
            <w:tcW w:w="1134" w:type="dxa"/>
            <w:vAlign w:val="center"/>
          </w:tcPr>
          <w:p>
            <w:pPr>
              <w:jc w:val="center"/>
              <w:rPr>
                <w:sz w:val="24"/>
              </w:rPr>
            </w:pPr>
            <w:r>
              <w:rPr>
                <w:sz w:val="24"/>
              </w:rPr>
              <w:t>污染物</w:t>
            </w:r>
          </w:p>
          <w:p>
            <w:pPr>
              <w:jc w:val="center"/>
              <w:rPr>
                <w:sz w:val="24"/>
              </w:rPr>
            </w:pPr>
            <w:r>
              <w:rPr>
                <w:sz w:val="24"/>
              </w:rPr>
              <w:t>项目</w:t>
            </w:r>
          </w:p>
        </w:tc>
        <w:tc>
          <w:tcPr>
            <w:tcW w:w="2977" w:type="dxa"/>
            <w:vAlign w:val="center"/>
          </w:tcPr>
          <w:p>
            <w:pPr>
              <w:jc w:val="center"/>
              <w:rPr>
                <w:sz w:val="24"/>
              </w:rPr>
            </w:pPr>
            <w:r>
              <w:rPr>
                <w:sz w:val="24"/>
              </w:rPr>
              <w:t>环境保护措施</w:t>
            </w:r>
          </w:p>
        </w:tc>
        <w:tc>
          <w:tcPr>
            <w:tcW w:w="1864" w:type="dxa"/>
            <w:vAlign w:val="center"/>
          </w:tcPr>
          <w:p>
            <w:pPr>
              <w:jc w:val="center"/>
              <w:rPr>
                <w:sz w:val="24"/>
              </w:rPr>
            </w:pPr>
            <w:r>
              <w:rPr>
                <w:sz w:val="24"/>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41" w:type="dxa"/>
            <w:vMerge w:val="restart"/>
            <w:vAlign w:val="center"/>
          </w:tcPr>
          <w:p>
            <w:pPr>
              <w:jc w:val="center"/>
              <w:rPr>
                <w:sz w:val="24"/>
              </w:rPr>
            </w:pPr>
            <w:r>
              <w:rPr>
                <w:sz w:val="24"/>
              </w:rPr>
              <w:t>大气环境</w:t>
            </w:r>
          </w:p>
        </w:tc>
        <w:tc>
          <w:tcPr>
            <w:tcW w:w="1984" w:type="dxa"/>
            <w:vAlign w:val="center"/>
          </w:tcPr>
          <w:p>
            <w:pPr>
              <w:jc w:val="center"/>
              <w:rPr>
                <w:sz w:val="24"/>
              </w:rPr>
            </w:pPr>
            <w:r>
              <w:rPr>
                <w:rFonts w:hint="eastAsia"/>
                <w:sz w:val="24"/>
              </w:rPr>
              <w:t>物料堆放、装卸粉尘</w:t>
            </w:r>
          </w:p>
        </w:tc>
        <w:tc>
          <w:tcPr>
            <w:tcW w:w="1134" w:type="dxa"/>
            <w:vAlign w:val="center"/>
          </w:tcPr>
          <w:p>
            <w:pPr>
              <w:jc w:val="center"/>
              <w:rPr>
                <w:sz w:val="24"/>
              </w:rPr>
            </w:pPr>
            <w:r>
              <w:rPr>
                <w:rFonts w:hint="eastAsia"/>
                <w:sz w:val="24"/>
              </w:rPr>
              <w:t>颗粒物</w:t>
            </w:r>
          </w:p>
        </w:tc>
        <w:tc>
          <w:tcPr>
            <w:tcW w:w="2977" w:type="dxa"/>
            <w:vAlign w:val="center"/>
          </w:tcPr>
          <w:p>
            <w:pPr>
              <w:rPr>
                <w:sz w:val="24"/>
              </w:rPr>
            </w:pPr>
            <w:r>
              <w:rPr>
                <w:rFonts w:hint="eastAsia"/>
                <w:sz w:val="24"/>
              </w:rPr>
              <w:t>通过对场地硬化、设置喷淋设施等，并定期打扫车间地面，保持地面清洁，无组织粉尘排放量较少。</w:t>
            </w:r>
          </w:p>
        </w:tc>
        <w:tc>
          <w:tcPr>
            <w:tcW w:w="1864" w:type="dxa"/>
            <w:vMerge w:val="restart"/>
            <w:vAlign w:val="center"/>
          </w:tcPr>
          <w:p>
            <w:pPr>
              <w:rPr>
                <w:sz w:val="24"/>
              </w:rPr>
            </w:pPr>
            <w:r>
              <w:rPr>
                <w:rFonts w:hint="eastAsia"/>
                <w:sz w:val="24"/>
              </w:rPr>
              <w:t>满足《煤炭工业污染物排放标准》（GB20426-2006）表5煤炭工业无组织排放限值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1" w:hRule="atLeast"/>
          <w:jc w:val="center"/>
        </w:trPr>
        <w:tc>
          <w:tcPr>
            <w:tcW w:w="841" w:type="dxa"/>
            <w:vMerge w:val="continue"/>
            <w:vAlign w:val="center"/>
          </w:tcPr>
          <w:p>
            <w:pPr>
              <w:jc w:val="center"/>
              <w:rPr>
                <w:sz w:val="24"/>
              </w:rPr>
            </w:pPr>
          </w:p>
        </w:tc>
        <w:tc>
          <w:tcPr>
            <w:tcW w:w="1984" w:type="dxa"/>
            <w:vAlign w:val="center"/>
          </w:tcPr>
          <w:p>
            <w:pPr>
              <w:pStyle w:val="143"/>
              <w:spacing w:before="78"/>
              <w:jc w:val="center"/>
              <w:rPr>
                <w:rFonts w:ascii="Times New Roman" w:hAnsi="Times New Roman" w:cs="Times New Roman"/>
                <w:snapToGrid/>
                <w:color w:val="auto"/>
                <w:kern w:val="2"/>
                <w:lang w:eastAsia="zh-CN"/>
              </w:rPr>
            </w:pPr>
            <w:r>
              <w:rPr>
                <w:rFonts w:ascii="Times New Roman" w:hAnsi="Times New Roman" w:cs="Times New Roman"/>
                <w:snapToGrid/>
                <w:color w:val="auto"/>
                <w:kern w:val="2"/>
                <w:lang w:eastAsia="zh-CN"/>
              </w:rPr>
              <w:t>原料运输和转运扬</w:t>
            </w:r>
            <w:r>
              <w:rPr>
                <w:color w:val="auto"/>
              </w:rPr>
              <w:t>尘</w:t>
            </w:r>
          </w:p>
        </w:tc>
        <w:tc>
          <w:tcPr>
            <w:tcW w:w="1134" w:type="dxa"/>
            <w:vAlign w:val="center"/>
          </w:tcPr>
          <w:p>
            <w:pPr>
              <w:jc w:val="center"/>
              <w:rPr>
                <w:sz w:val="24"/>
              </w:rPr>
            </w:pPr>
            <w:r>
              <w:rPr>
                <w:rFonts w:hint="eastAsia"/>
                <w:sz w:val="24"/>
              </w:rPr>
              <w:t>颗粒物</w:t>
            </w:r>
          </w:p>
        </w:tc>
        <w:tc>
          <w:tcPr>
            <w:tcW w:w="2977" w:type="dxa"/>
          </w:tcPr>
          <w:p>
            <w:pPr>
              <w:rPr>
                <w:sz w:val="24"/>
              </w:rPr>
            </w:pPr>
            <w:r>
              <w:rPr>
                <w:rFonts w:hint="eastAsia"/>
                <w:sz w:val="24"/>
              </w:rPr>
              <w:t>采用苫布覆盖、限速、转运点设置洒水喷淋等降尘措施，同时减小输送高度，并对厂区地面进行硬化。</w:t>
            </w:r>
          </w:p>
        </w:tc>
        <w:tc>
          <w:tcPr>
            <w:tcW w:w="1864" w:type="dxa"/>
            <w:vMerge w:val="continue"/>
            <w:vAlign w:val="center"/>
          </w:tcPr>
          <w:p>
            <w:pPr>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1" w:hRule="atLeast"/>
          <w:jc w:val="center"/>
        </w:trPr>
        <w:tc>
          <w:tcPr>
            <w:tcW w:w="841" w:type="dxa"/>
            <w:vMerge w:val="continue"/>
            <w:vAlign w:val="center"/>
          </w:tcPr>
          <w:p>
            <w:pPr>
              <w:jc w:val="center"/>
              <w:rPr>
                <w:sz w:val="24"/>
              </w:rPr>
            </w:pPr>
          </w:p>
        </w:tc>
        <w:tc>
          <w:tcPr>
            <w:tcW w:w="1984" w:type="dxa"/>
            <w:vAlign w:val="center"/>
          </w:tcPr>
          <w:p>
            <w:pPr>
              <w:jc w:val="center"/>
              <w:rPr>
                <w:sz w:val="24"/>
              </w:rPr>
            </w:pPr>
            <w:r>
              <w:rPr>
                <w:sz w:val="24"/>
              </w:rPr>
              <w:t>道路运输扬尘</w:t>
            </w:r>
          </w:p>
        </w:tc>
        <w:tc>
          <w:tcPr>
            <w:tcW w:w="1134" w:type="dxa"/>
            <w:vAlign w:val="center"/>
          </w:tcPr>
          <w:p>
            <w:pPr>
              <w:jc w:val="center"/>
              <w:rPr>
                <w:sz w:val="24"/>
              </w:rPr>
            </w:pPr>
            <w:r>
              <w:rPr>
                <w:rFonts w:hint="eastAsia"/>
                <w:sz w:val="24"/>
              </w:rPr>
              <w:t>颗粒物</w:t>
            </w:r>
          </w:p>
        </w:tc>
        <w:tc>
          <w:tcPr>
            <w:tcW w:w="2977" w:type="dxa"/>
            <w:vAlign w:val="center"/>
          </w:tcPr>
          <w:p>
            <w:pPr>
              <w:rPr>
                <w:sz w:val="24"/>
              </w:rPr>
            </w:pPr>
            <w:r>
              <w:rPr>
                <w:rFonts w:hint="eastAsia"/>
                <w:sz w:val="24"/>
              </w:rPr>
              <w:t>采取加盖苫布、洒水降尘、控制车速经过敏感地段时减速慢行，同时对厂区地面进行硬化，企业加强管理。</w:t>
            </w:r>
          </w:p>
        </w:tc>
        <w:tc>
          <w:tcPr>
            <w:tcW w:w="1864" w:type="dxa"/>
            <w:vMerge w:val="continue"/>
            <w:vAlign w:val="center"/>
          </w:tcPr>
          <w:p>
            <w:pPr>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841" w:type="dxa"/>
            <w:vMerge w:val="restart"/>
            <w:vAlign w:val="center"/>
          </w:tcPr>
          <w:p>
            <w:pPr>
              <w:jc w:val="center"/>
              <w:rPr>
                <w:sz w:val="24"/>
              </w:rPr>
            </w:pPr>
            <w:r>
              <w:rPr>
                <w:sz w:val="24"/>
              </w:rPr>
              <w:t>地表水环境</w:t>
            </w:r>
          </w:p>
        </w:tc>
        <w:tc>
          <w:tcPr>
            <w:tcW w:w="1984" w:type="dxa"/>
            <w:vAlign w:val="center"/>
          </w:tcPr>
          <w:p>
            <w:pPr>
              <w:pStyle w:val="143"/>
              <w:spacing w:before="78"/>
              <w:jc w:val="center"/>
              <w:rPr>
                <w:rFonts w:ascii="Times New Roman" w:hAnsi="Times New Roman" w:cs="Times New Roman"/>
                <w:snapToGrid/>
                <w:color w:val="auto"/>
                <w:kern w:val="2"/>
                <w:lang w:eastAsia="zh-CN"/>
              </w:rPr>
            </w:pPr>
            <w:r>
              <w:rPr>
                <w:rFonts w:ascii="Times New Roman" w:hAnsi="Times New Roman" w:cs="Times New Roman"/>
                <w:snapToGrid/>
                <w:color w:val="auto"/>
                <w:kern w:val="2"/>
                <w:lang w:eastAsia="zh-CN"/>
              </w:rPr>
              <w:t>生活污水</w:t>
            </w:r>
          </w:p>
        </w:tc>
        <w:tc>
          <w:tcPr>
            <w:tcW w:w="1134" w:type="dxa"/>
            <w:vAlign w:val="center"/>
          </w:tcPr>
          <w:p>
            <w:pPr>
              <w:jc w:val="center"/>
              <w:rPr>
                <w:sz w:val="24"/>
              </w:rPr>
            </w:pPr>
            <w:r>
              <w:rPr>
                <w:rFonts w:hint="eastAsia"/>
                <w:sz w:val="24"/>
              </w:rPr>
              <w:t>/</w:t>
            </w:r>
          </w:p>
        </w:tc>
        <w:tc>
          <w:tcPr>
            <w:tcW w:w="2977" w:type="dxa"/>
          </w:tcPr>
          <w:p>
            <w:pPr>
              <w:rPr>
                <w:sz w:val="24"/>
              </w:rPr>
            </w:pPr>
            <w:r>
              <w:rPr>
                <w:sz w:val="24"/>
              </w:rPr>
              <w:t>排入厂区内防渗旱厕，定期清掏，外运堆肥，不外排。</w:t>
            </w:r>
          </w:p>
        </w:tc>
        <w:tc>
          <w:tcPr>
            <w:tcW w:w="1864" w:type="dxa"/>
            <w:vMerge w:val="restart"/>
            <w:vAlign w:val="center"/>
          </w:tcPr>
          <w:p>
            <w:pPr>
              <w:jc w:val="center"/>
              <w:rPr>
                <w:sz w:val="24"/>
              </w:rPr>
            </w:pPr>
            <w:r>
              <w:rPr>
                <w:rFonts w:hint="eastAsia"/>
                <w:sz w:val="24"/>
              </w:rPr>
              <w:t>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841" w:type="dxa"/>
            <w:vMerge w:val="continue"/>
            <w:vAlign w:val="center"/>
          </w:tcPr>
          <w:p>
            <w:pPr>
              <w:jc w:val="center"/>
              <w:rPr>
                <w:sz w:val="24"/>
              </w:rPr>
            </w:pPr>
          </w:p>
        </w:tc>
        <w:tc>
          <w:tcPr>
            <w:tcW w:w="1984" w:type="dxa"/>
            <w:vAlign w:val="center"/>
          </w:tcPr>
          <w:p>
            <w:pPr>
              <w:pStyle w:val="143"/>
              <w:spacing w:before="78"/>
              <w:jc w:val="center"/>
              <w:rPr>
                <w:rFonts w:ascii="Times New Roman" w:hAnsi="Times New Roman" w:cs="Times New Roman"/>
                <w:snapToGrid/>
                <w:color w:val="auto"/>
                <w:kern w:val="2"/>
                <w:lang w:eastAsia="zh-CN"/>
              </w:rPr>
            </w:pPr>
            <w:r>
              <w:rPr>
                <w:rFonts w:hint="eastAsia" w:ascii="Times New Roman" w:hAnsi="Times New Roman" w:cs="Times New Roman"/>
                <w:snapToGrid/>
                <w:color w:val="auto"/>
                <w:kern w:val="2"/>
                <w:lang w:eastAsia="zh-CN"/>
              </w:rPr>
              <w:t>洗煤废水</w:t>
            </w:r>
          </w:p>
        </w:tc>
        <w:tc>
          <w:tcPr>
            <w:tcW w:w="1134" w:type="dxa"/>
            <w:vAlign w:val="center"/>
          </w:tcPr>
          <w:p>
            <w:pPr>
              <w:jc w:val="center"/>
              <w:rPr>
                <w:szCs w:val="21"/>
              </w:rPr>
            </w:pPr>
            <w:r>
              <w:rPr>
                <w:rFonts w:hint="eastAsia"/>
                <w:sz w:val="24"/>
              </w:rPr>
              <w:t>/</w:t>
            </w:r>
          </w:p>
        </w:tc>
        <w:tc>
          <w:tcPr>
            <w:tcW w:w="2977" w:type="dxa"/>
          </w:tcPr>
          <w:p>
            <w:pPr>
              <w:rPr>
                <w:sz w:val="24"/>
              </w:rPr>
            </w:pPr>
            <w:r>
              <w:rPr>
                <w:rFonts w:hint="eastAsia"/>
                <w:sz w:val="24"/>
              </w:rPr>
              <w:t>排入循环沉淀池，经浓缩机处理后回用于生产，不外排。</w:t>
            </w:r>
          </w:p>
        </w:tc>
        <w:tc>
          <w:tcPr>
            <w:tcW w:w="1864" w:type="dxa"/>
            <w:vMerge w:val="continue"/>
            <w:vAlign w:val="center"/>
          </w:tcPr>
          <w:p>
            <w:pPr>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841" w:type="dxa"/>
            <w:vMerge w:val="continue"/>
            <w:vAlign w:val="center"/>
          </w:tcPr>
          <w:p>
            <w:pPr>
              <w:jc w:val="center"/>
              <w:rPr>
                <w:sz w:val="24"/>
              </w:rPr>
            </w:pPr>
          </w:p>
        </w:tc>
        <w:tc>
          <w:tcPr>
            <w:tcW w:w="1984" w:type="dxa"/>
            <w:vAlign w:val="center"/>
          </w:tcPr>
          <w:p>
            <w:pPr>
              <w:pStyle w:val="143"/>
              <w:spacing w:before="78"/>
              <w:jc w:val="center"/>
              <w:rPr>
                <w:rFonts w:ascii="Times New Roman" w:hAnsi="Times New Roman" w:cs="Times New Roman"/>
                <w:snapToGrid/>
                <w:color w:val="auto"/>
                <w:kern w:val="2"/>
                <w:lang w:eastAsia="zh-CN"/>
              </w:rPr>
            </w:pPr>
            <w:r>
              <w:rPr>
                <w:rFonts w:ascii="Times New Roman" w:hAnsi="Times New Roman" w:cs="Times New Roman"/>
                <w:snapToGrid/>
                <w:color w:val="auto"/>
                <w:kern w:val="2"/>
                <w:lang w:eastAsia="zh-CN"/>
              </w:rPr>
              <w:t>车间地面冲洗废水</w:t>
            </w:r>
          </w:p>
        </w:tc>
        <w:tc>
          <w:tcPr>
            <w:tcW w:w="1134" w:type="dxa"/>
            <w:vAlign w:val="center"/>
          </w:tcPr>
          <w:p>
            <w:pPr>
              <w:jc w:val="center"/>
              <w:rPr>
                <w:sz w:val="24"/>
              </w:rPr>
            </w:pPr>
            <w:r>
              <w:rPr>
                <w:rFonts w:hint="eastAsia"/>
                <w:sz w:val="24"/>
              </w:rPr>
              <w:t>/</w:t>
            </w:r>
          </w:p>
        </w:tc>
        <w:tc>
          <w:tcPr>
            <w:tcW w:w="2977" w:type="dxa"/>
          </w:tcPr>
          <w:p>
            <w:pPr>
              <w:rPr>
                <w:sz w:val="24"/>
              </w:rPr>
            </w:pPr>
            <w:r>
              <w:rPr>
                <w:rFonts w:hint="eastAsia"/>
                <w:sz w:val="24"/>
              </w:rPr>
              <w:t>排入循环沉淀池，经浓缩机处理后回用于生产，不外排。</w:t>
            </w:r>
          </w:p>
        </w:tc>
        <w:tc>
          <w:tcPr>
            <w:tcW w:w="1864" w:type="dxa"/>
            <w:vMerge w:val="continue"/>
            <w:vAlign w:val="center"/>
          </w:tcPr>
          <w:p>
            <w:pPr>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841" w:type="dxa"/>
            <w:vMerge w:val="continue"/>
            <w:vAlign w:val="center"/>
          </w:tcPr>
          <w:p>
            <w:pPr>
              <w:jc w:val="center"/>
              <w:rPr>
                <w:sz w:val="24"/>
              </w:rPr>
            </w:pPr>
          </w:p>
        </w:tc>
        <w:tc>
          <w:tcPr>
            <w:tcW w:w="1984" w:type="dxa"/>
            <w:vAlign w:val="center"/>
          </w:tcPr>
          <w:p>
            <w:pPr>
              <w:pStyle w:val="143"/>
              <w:spacing w:before="78"/>
              <w:jc w:val="center"/>
              <w:rPr>
                <w:rFonts w:ascii="Times New Roman" w:hAnsi="Times New Roman" w:cs="Times New Roman"/>
                <w:snapToGrid/>
                <w:color w:val="auto"/>
                <w:kern w:val="2"/>
                <w:lang w:eastAsia="zh-CN"/>
              </w:rPr>
            </w:pPr>
            <w:r>
              <w:rPr>
                <w:rFonts w:ascii="Times New Roman" w:hAnsi="Times New Roman" w:cs="Times New Roman"/>
                <w:snapToGrid/>
                <w:color w:val="auto"/>
                <w:kern w:val="2"/>
                <w:lang w:eastAsia="zh-CN"/>
              </w:rPr>
              <w:t>压滤机清洗废水</w:t>
            </w:r>
          </w:p>
        </w:tc>
        <w:tc>
          <w:tcPr>
            <w:tcW w:w="1134" w:type="dxa"/>
            <w:vAlign w:val="center"/>
          </w:tcPr>
          <w:p>
            <w:pPr>
              <w:jc w:val="center"/>
              <w:rPr>
                <w:sz w:val="24"/>
              </w:rPr>
            </w:pPr>
            <w:r>
              <w:rPr>
                <w:rFonts w:hint="eastAsia"/>
                <w:sz w:val="24"/>
              </w:rPr>
              <w:t>/</w:t>
            </w:r>
          </w:p>
        </w:tc>
        <w:tc>
          <w:tcPr>
            <w:tcW w:w="2977" w:type="dxa"/>
          </w:tcPr>
          <w:p>
            <w:pPr>
              <w:rPr>
                <w:sz w:val="24"/>
              </w:rPr>
            </w:pPr>
            <w:r>
              <w:rPr>
                <w:rFonts w:hint="eastAsia"/>
                <w:sz w:val="24"/>
              </w:rPr>
              <w:t>排入循环沉淀池，经浓缩机处理后回用于生产，不外排。</w:t>
            </w:r>
          </w:p>
        </w:tc>
        <w:tc>
          <w:tcPr>
            <w:tcW w:w="1864" w:type="dxa"/>
            <w:vMerge w:val="continue"/>
            <w:vAlign w:val="center"/>
          </w:tcPr>
          <w:p>
            <w:pPr>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841" w:type="dxa"/>
            <w:vMerge w:val="continue"/>
            <w:vAlign w:val="center"/>
          </w:tcPr>
          <w:p>
            <w:pPr>
              <w:jc w:val="center"/>
              <w:rPr>
                <w:sz w:val="24"/>
              </w:rPr>
            </w:pPr>
          </w:p>
        </w:tc>
        <w:tc>
          <w:tcPr>
            <w:tcW w:w="1984" w:type="dxa"/>
            <w:vAlign w:val="center"/>
          </w:tcPr>
          <w:p>
            <w:pPr>
              <w:pStyle w:val="143"/>
              <w:spacing w:before="78"/>
              <w:jc w:val="center"/>
              <w:rPr>
                <w:rFonts w:ascii="Times New Roman" w:hAnsi="Times New Roman" w:cs="Times New Roman"/>
                <w:snapToGrid/>
                <w:color w:val="auto"/>
                <w:kern w:val="2"/>
                <w:lang w:eastAsia="zh-CN"/>
              </w:rPr>
            </w:pPr>
            <w:r>
              <w:rPr>
                <w:rFonts w:ascii="Times New Roman" w:hAnsi="Times New Roman" w:cs="Times New Roman"/>
                <w:snapToGrid/>
                <w:color w:val="auto"/>
                <w:kern w:val="2"/>
                <w:lang w:eastAsia="zh-CN"/>
              </w:rPr>
              <w:t>车辆冲洗废水</w:t>
            </w:r>
          </w:p>
        </w:tc>
        <w:tc>
          <w:tcPr>
            <w:tcW w:w="1134" w:type="dxa"/>
            <w:vAlign w:val="center"/>
          </w:tcPr>
          <w:p>
            <w:pPr>
              <w:jc w:val="center"/>
              <w:rPr>
                <w:sz w:val="24"/>
              </w:rPr>
            </w:pPr>
            <w:r>
              <w:rPr>
                <w:rFonts w:hint="eastAsia"/>
                <w:sz w:val="24"/>
              </w:rPr>
              <w:t>/</w:t>
            </w:r>
          </w:p>
        </w:tc>
        <w:tc>
          <w:tcPr>
            <w:tcW w:w="2977" w:type="dxa"/>
          </w:tcPr>
          <w:p>
            <w:pPr>
              <w:rPr>
                <w:sz w:val="24"/>
              </w:rPr>
            </w:pPr>
            <w:r>
              <w:rPr>
                <w:rFonts w:hint="eastAsia"/>
                <w:sz w:val="24"/>
              </w:rPr>
              <w:t>排入循环沉淀池，经浓缩机处理后回用于生产，不外排。</w:t>
            </w:r>
          </w:p>
        </w:tc>
        <w:tc>
          <w:tcPr>
            <w:tcW w:w="1864" w:type="dxa"/>
            <w:vMerge w:val="continue"/>
            <w:vAlign w:val="center"/>
          </w:tcPr>
          <w:p>
            <w:pPr>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841" w:type="dxa"/>
            <w:vMerge w:val="continue"/>
            <w:vAlign w:val="center"/>
          </w:tcPr>
          <w:p>
            <w:pPr>
              <w:jc w:val="center"/>
              <w:rPr>
                <w:sz w:val="24"/>
              </w:rPr>
            </w:pPr>
          </w:p>
        </w:tc>
        <w:tc>
          <w:tcPr>
            <w:tcW w:w="1984" w:type="dxa"/>
            <w:vAlign w:val="center"/>
          </w:tcPr>
          <w:p>
            <w:pPr>
              <w:pStyle w:val="143"/>
              <w:spacing w:before="78"/>
              <w:jc w:val="center"/>
              <w:rPr>
                <w:rFonts w:ascii="Times New Roman" w:hAnsi="Times New Roman" w:cs="Times New Roman"/>
                <w:snapToGrid/>
                <w:color w:val="auto"/>
                <w:kern w:val="2"/>
                <w:lang w:eastAsia="zh-CN"/>
              </w:rPr>
            </w:pPr>
            <w:r>
              <w:rPr>
                <w:rFonts w:ascii="Times New Roman" w:hAnsi="Times New Roman" w:cs="Times New Roman"/>
                <w:snapToGrid/>
                <w:color w:val="auto"/>
                <w:kern w:val="2"/>
                <w:lang w:eastAsia="zh-CN"/>
              </w:rPr>
              <w:t>初期雨水</w:t>
            </w:r>
          </w:p>
        </w:tc>
        <w:tc>
          <w:tcPr>
            <w:tcW w:w="1134" w:type="dxa"/>
            <w:vAlign w:val="center"/>
          </w:tcPr>
          <w:p>
            <w:pPr>
              <w:jc w:val="center"/>
              <w:rPr>
                <w:sz w:val="24"/>
              </w:rPr>
            </w:pPr>
            <w:r>
              <w:rPr>
                <w:rFonts w:hint="eastAsia"/>
                <w:sz w:val="24"/>
              </w:rPr>
              <w:t>/</w:t>
            </w:r>
          </w:p>
        </w:tc>
        <w:tc>
          <w:tcPr>
            <w:tcW w:w="2977" w:type="dxa"/>
          </w:tcPr>
          <w:p>
            <w:pPr>
              <w:rPr>
                <w:sz w:val="24"/>
              </w:rPr>
            </w:pPr>
            <w:r>
              <w:rPr>
                <w:sz w:val="24"/>
              </w:rPr>
              <w:t>收集后的雨水导入</w:t>
            </w:r>
            <w:r>
              <w:rPr>
                <w:rFonts w:hint="eastAsia"/>
                <w:sz w:val="24"/>
              </w:rPr>
              <w:t>700m</w:t>
            </w:r>
            <w:r>
              <w:rPr>
                <w:sz w:val="24"/>
                <w:vertAlign w:val="superscript"/>
              </w:rPr>
              <w:t>3</w:t>
            </w:r>
            <w:r>
              <w:rPr>
                <w:sz w:val="24"/>
              </w:rPr>
              <w:t>初期雨水收集池，沉淀后用于厂区洒水抑尘。（本项目矸石为暂存，随产随运，不会产生的大量溶淋液，主要为雨水冲刷产生的溶淋液（以初期雨水计）。</w:t>
            </w:r>
          </w:p>
        </w:tc>
        <w:tc>
          <w:tcPr>
            <w:tcW w:w="1864" w:type="dxa"/>
            <w:vMerge w:val="continue"/>
            <w:vAlign w:val="center"/>
          </w:tcPr>
          <w:p>
            <w:pPr>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8" w:hRule="atLeast"/>
          <w:jc w:val="center"/>
        </w:trPr>
        <w:tc>
          <w:tcPr>
            <w:tcW w:w="841" w:type="dxa"/>
            <w:vAlign w:val="center"/>
          </w:tcPr>
          <w:p>
            <w:pPr>
              <w:jc w:val="center"/>
              <w:rPr>
                <w:sz w:val="24"/>
              </w:rPr>
            </w:pPr>
            <w:r>
              <w:rPr>
                <w:sz w:val="24"/>
              </w:rPr>
              <w:t>声环境</w:t>
            </w:r>
          </w:p>
        </w:tc>
        <w:tc>
          <w:tcPr>
            <w:tcW w:w="1984" w:type="dxa"/>
            <w:vAlign w:val="center"/>
          </w:tcPr>
          <w:p>
            <w:pPr>
              <w:jc w:val="center"/>
              <w:rPr>
                <w:sz w:val="24"/>
              </w:rPr>
            </w:pPr>
            <w:r>
              <w:rPr>
                <w:sz w:val="24"/>
              </w:rPr>
              <w:t>设备噪声</w:t>
            </w:r>
          </w:p>
        </w:tc>
        <w:tc>
          <w:tcPr>
            <w:tcW w:w="1134" w:type="dxa"/>
            <w:vAlign w:val="center"/>
          </w:tcPr>
          <w:p>
            <w:pPr>
              <w:jc w:val="center"/>
              <w:rPr>
                <w:bCs/>
                <w:sz w:val="24"/>
                <w:lang w:val="zh-CN"/>
              </w:rPr>
            </w:pPr>
            <w:r>
              <w:rPr>
                <w:bCs/>
                <w:sz w:val="24"/>
                <w:lang w:val="zh-CN"/>
              </w:rPr>
              <w:t>等效</w:t>
            </w:r>
          </w:p>
          <w:p>
            <w:pPr>
              <w:jc w:val="center"/>
              <w:rPr>
                <w:sz w:val="24"/>
              </w:rPr>
            </w:pPr>
            <w:r>
              <w:rPr>
                <w:bCs/>
                <w:sz w:val="24"/>
                <w:lang w:val="zh-CN"/>
              </w:rPr>
              <w:t>A声级</w:t>
            </w:r>
          </w:p>
        </w:tc>
        <w:tc>
          <w:tcPr>
            <w:tcW w:w="2977" w:type="dxa"/>
            <w:vAlign w:val="center"/>
          </w:tcPr>
          <w:p>
            <w:pPr>
              <w:rPr>
                <w:sz w:val="24"/>
              </w:rPr>
            </w:pPr>
            <w:r>
              <w:rPr>
                <w:sz w:val="24"/>
              </w:rPr>
              <w:t>选用低噪声设备、</w:t>
            </w:r>
            <w:r>
              <w:rPr>
                <w:rFonts w:hint="eastAsia"/>
                <w:sz w:val="24"/>
              </w:rPr>
              <w:t>低噪声设备，建筑物隔声、基础减振</w:t>
            </w:r>
            <w:r>
              <w:rPr>
                <w:sz w:val="24"/>
              </w:rPr>
              <w:t>等措施</w:t>
            </w:r>
            <w:r>
              <w:rPr>
                <w:rFonts w:hint="eastAsia"/>
                <w:sz w:val="24"/>
              </w:rPr>
              <w:t>。</w:t>
            </w:r>
          </w:p>
        </w:tc>
        <w:tc>
          <w:tcPr>
            <w:tcW w:w="1864" w:type="dxa"/>
            <w:vAlign w:val="center"/>
          </w:tcPr>
          <w:p>
            <w:pPr>
              <w:rPr>
                <w:sz w:val="24"/>
              </w:rPr>
            </w:pPr>
            <w:r>
              <w:rPr>
                <w:sz w:val="24"/>
              </w:rPr>
              <w:t>《工业企业厂界环境噪声排放标准》（GB12348-2008）表1中2类标准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8" w:hRule="atLeast"/>
          <w:jc w:val="center"/>
        </w:trPr>
        <w:tc>
          <w:tcPr>
            <w:tcW w:w="841" w:type="dxa"/>
            <w:vAlign w:val="center"/>
          </w:tcPr>
          <w:p>
            <w:pPr>
              <w:jc w:val="center"/>
              <w:rPr>
                <w:sz w:val="24"/>
              </w:rPr>
            </w:pPr>
            <w:r>
              <w:rPr>
                <w:sz w:val="24"/>
              </w:rPr>
              <w:t>电磁辐射</w:t>
            </w:r>
          </w:p>
        </w:tc>
        <w:tc>
          <w:tcPr>
            <w:tcW w:w="1984" w:type="dxa"/>
            <w:vAlign w:val="center"/>
          </w:tcPr>
          <w:p>
            <w:pPr>
              <w:jc w:val="center"/>
              <w:rPr>
                <w:sz w:val="24"/>
              </w:rPr>
            </w:pPr>
            <w:r>
              <w:rPr>
                <w:sz w:val="24"/>
              </w:rPr>
              <w:t>/</w:t>
            </w:r>
          </w:p>
        </w:tc>
        <w:tc>
          <w:tcPr>
            <w:tcW w:w="1134" w:type="dxa"/>
            <w:vAlign w:val="center"/>
          </w:tcPr>
          <w:p>
            <w:pPr>
              <w:jc w:val="center"/>
              <w:rPr>
                <w:sz w:val="24"/>
              </w:rPr>
            </w:pPr>
            <w:r>
              <w:rPr>
                <w:sz w:val="24"/>
              </w:rPr>
              <w:t>/</w:t>
            </w:r>
          </w:p>
        </w:tc>
        <w:tc>
          <w:tcPr>
            <w:tcW w:w="2977" w:type="dxa"/>
            <w:vAlign w:val="center"/>
          </w:tcPr>
          <w:p>
            <w:pPr>
              <w:jc w:val="center"/>
              <w:rPr>
                <w:sz w:val="24"/>
              </w:rPr>
            </w:pPr>
            <w:r>
              <w:rPr>
                <w:sz w:val="24"/>
              </w:rPr>
              <w:t>/</w:t>
            </w:r>
          </w:p>
        </w:tc>
        <w:tc>
          <w:tcPr>
            <w:tcW w:w="1864" w:type="dxa"/>
            <w:vAlign w:val="center"/>
          </w:tcPr>
          <w:p>
            <w:pPr>
              <w:jc w:val="center"/>
              <w:rPr>
                <w:sz w:val="24"/>
              </w:rPr>
            </w:pPr>
            <w:r>
              <w:rPr>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0" w:hRule="atLeast"/>
          <w:jc w:val="center"/>
        </w:trPr>
        <w:tc>
          <w:tcPr>
            <w:tcW w:w="841" w:type="dxa"/>
            <w:vAlign w:val="center"/>
          </w:tcPr>
          <w:p>
            <w:pPr>
              <w:jc w:val="center"/>
              <w:rPr>
                <w:sz w:val="24"/>
              </w:rPr>
            </w:pPr>
            <w:r>
              <w:rPr>
                <w:sz w:val="24"/>
              </w:rPr>
              <w:t>固体废物</w:t>
            </w:r>
          </w:p>
        </w:tc>
        <w:tc>
          <w:tcPr>
            <w:tcW w:w="7959" w:type="dxa"/>
            <w:gridSpan w:val="4"/>
            <w:vAlign w:val="center"/>
          </w:tcPr>
          <w:p>
            <w:pPr>
              <w:rPr>
                <w:sz w:val="24"/>
              </w:rPr>
            </w:pPr>
            <w:r>
              <w:rPr>
                <w:rFonts w:hint="eastAsia"/>
                <w:sz w:val="24"/>
              </w:rPr>
              <w:t>①生活垃圾：本项目职员生活垃圾集中收集，由市政部门统一处理。</w:t>
            </w:r>
          </w:p>
          <w:p>
            <w:pPr>
              <w:rPr>
                <w:sz w:val="24"/>
              </w:rPr>
            </w:pPr>
            <w:r>
              <w:rPr>
                <w:rFonts w:hint="eastAsia"/>
                <w:sz w:val="24"/>
              </w:rPr>
              <w:t>②矸石：在厂区矸石堆放库暂存，定期拉运外售给建筑材料生产单位回收进行综合利用。</w:t>
            </w:r>
          </w:p>
          <w:p>
            <w:pPr>
              <w:rPr>
                <w:sz w:val="24"/>
              </w:rPr>
            </w:pPr>
            <w:r>
              <w:rPr>
                <w:rFonts w:hint="eastAsia"/>
                <w:sz w:val="24"/>
              </w:rPr>
              <w:t>③废矿物油：本项目维修、养护设备产生的废矿物油桶装收集，暂存危险废物贮存点，委托有资质单位处置。</w:t>
            </w:r>
          </w:p>
          <w:p>
            <w:pPr>
              <w:rPr>
                <w:sz w:val="24"/>
              </w:rPr>
            </w:pPr>
            <w:r>
              <w:rPr>
                <w:rFonts w:hint="eastAsia"/>
                <w:sz w:val="24"/>
              </w:rPr>
              <w:t>④废弃含油抹布、劳保用品：本项目维修、养护设备产生的废弃含油抹布及劳保用品，暂存于危险废物贮存点，委托有资质单位处置。</w:t>
            </w:r>
          </w:p>
          <w:p>
            <w:pPr>
              <w:rPr>
                <w:sz w:val="24"/>
              </w:rPr>
            </w:pPr>
            <w:r>
              <w:rPr>
                <w:rFonts w:hint="eastAsia"/>
                <w:sz w:val="24"/>
              </w:rPr>
              <w:t>⑤沉淀池、雨水收集池沉渣：沉渣回收晾干，集中收集后外售综合利用。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87" w:hRule="atLeast"/>
          <w:jc w:val="center"/>
        </w:trPr>
        <w:tc>
          <w:tcPr>
            <w:tcW w:w="841" w:type="dxa"/>
            <w:vAlign w:val="center"/>
          </w:tcPr>
          <w:p>
            <w:pPr>
              <w:jc w:val="center"/>
              <w:rPr>
                <w:sz w:val="24"/>
              </w:rPr>
            </w:pPr>
            <w:r>
              <w:rPr>
                <w:sz w:val="24"/>
              </w:rPr>
              <w:t>土壤及地下水污染防治措施</w:t>
            </w:r>
          </w:p>
        </w:tc>
        <w:tc>
          <w:tcPr>
            <w:tcW w:w="7959" w:type="dxa"/>
            <w:gridSpan w:val="4"/>
            <w:vAlign w:val="center"/>
          </w:tcPr>
          <w:p>
            <w:pPr>
              <w:rPr>
                <w:sz w:val="24"/>
              </w:rPr>
            </w:pPr>
            <w:r>
              <w:rPr>
                <w:rFonts w:hint="eastAsia"/>
                <w:sz w:val="24"/>
              </w:rPr>
              <w:t>本项目建设循环沉淀池、初期雨水收集池、煤泥暂存池等对废水进行处理。</w:t>
            </w:r>
          </w:p>
          <w:p>
            <w:pPr>
              <w:rPr>
                <w:sz w:val="24"/>
              </w:rPr>
            </w:pPr>
            <w:r>
              <w:rPr>
                <w:rFonts w:hint="eastAsia"/>
                <w:sz w:val="24"/>
              </w:rPr>
              <w:t>本项目原煤堆放库、中煤堆放库、矸石堆放库四周设置导流沟，少量渗滤液收集后回到防渗沉淀池沉淀后循环使用。煤泥产生的少量煤泥水经煤泥暂存池收集后回到防渗沉淀池沉淀后循环使用。</w:t>
            </w:r>
          </w:p>
          <w:p>
            <w:pPr>
              <w:rPr>
                <w:sz w:val="24"/>
              </w:rPr>
            </w:pPr>
            <w:r>
              <w:rPr>
                <w:rFonts w:hint="eastAsia"/>
                <w:sz w:val="24"/>
              </w:rPr>
              <w:t>项目厂区采取“分区防渗”的原则，循环沉淀池、初期雨水收集池、煤泥暂存池、浓缩机和事故浓缩机所在位置车间地面为重点防渗区，原煤堆放库、中煤堆放库、矸石堆放库、车间地面为一般防渗区。综合用房为简单防渗区，进行一般地面硬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50" w:hRule="atLeast"/>
          <w:jc w:val="center"/>
        </w:trPr>
        <w:tc>
          <w:tcPr>
            <w:tcW w:w="841" w:type="dxa"/>
            <w:vAlign w:val="center"/>
          </w:tcPr>
          <w:p>
            <w:pPr>
              <w:jc w:val="center"/>
              <w:rPr>
                <w:sz w:val="24"/>
              </w:rPr>
            </w:pPr>
            <w:r>
              <w:rPr>
                <w:sz w:val="24"/>
              </w:rPr>
              <w:t>生态保护措施</w:t>
            </w:r>
          </w:p>
        </w:tc>
        <w:tc>
          <w:tcPr>
            <w:tcW w:w="7959" w:type="dxa"/>
            <w:gridSpan w:val="4"/>
            <w:vAlign w:val="center"/>
          </w:tcPr>
          <w:p>
            <w:pPr>
              <w:jc w:val="center"/>
              <w:rPr>
                <w:sz w:val="24"/>
              </w:rPr>
            </w:pPr>
            <w:r>
              <w:rPr>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9" w:hRule="atLeast"/>
          <w:jc w:val="center"/>
        </w:trPr>
        <w:tc>
          <w:tcPr>
            <w:tcW w:w="841" w:type="dxa"/>
            <w:vAlign w:val="center"/>
          </w:tcPr>
          <w:p>
            <w:pPr>
              <w:jc w:val="center"/>
              <w:rPr>
                <w:spacing w:val="-8"/>
                <w:sz w:val="24"/>
              </w:rPr>
            </w:pPr>
            <w:r>
              <w:rPr>
                <w:spacing w:val="-8"/>
                <w:sz w:val="24"/>
              </w:rPr>
              <w:t>环境风险</w:t>
            </w:r>
          </w:p>
          <w:p>
            <w:pPr>
              <w:jc w:val="center"/>
              <w:rPr>
                <w:spacing w:val="-8"/>
                <w:sz w:val="24"/>
              </w:rPr>
            </w:pPr>
            <w:r>
              <w:rPr>
                <w:spacing w:val="-8"/>
                <w:sz w:val="24"/>
              </w:rPr>
              <w:t>防范措施</w:t>
            </w:r>
          </w:p>
        </w:tc>
        <w:tc>
          <w:tcPr>
            <w:tcW w:w="7959" w:type="dxa"/>
            <w:gridSpan w:val="4"/>
            <w:vAlign w:val="center"/>
          </w:tcPr>
          <w:p>
            <w:pPr>
              <w:rPr>
                <w:sz w:val="24"/>
              </w:rPr>
            </w:pPr>
            <w:r>
              <w:rPr>
                <w:rFonts w:hint="eastAsia"/>
                <w:sz w:val="24"/>
              </w:rPr>
              <w:t>①本项目物料堆放库为小型堆放库，周转周期较短，不长期堆存，且堆存量较小，可降低原煤及成品、矸石自燃现象发生的概率；②输送皮带及物料堆放库定期洒水，保持一定的湿度，可有效避免自燃现象的发生；③输煤皮带应定期进行轮换、试验，及时清除输煤皮带、辅助设备、电缆排架等各处的积煤和积粉，保证输煤系统无积煤和积粉，输送皮带应采用难燃胶带。④厂区内应处置消火栓系统和火灾报警系统，并配备相应的灭火装置等。⑤废弃含油抹布、劳保用品</w:t>
            </w:r>
            <w:r>
              <w:rPr>
                <w:sz w:val="24"/>
              </w:rPr>
              <w:t>，</w:t>
            </w:r>
            <w:r>
              <w:rPr>
                <w:rFonts w:hint="eastAsia"/>
                <w:sz w:val="24"/>
              </w:rPr>
              <w:t>应</w:t>
            </w:r>
            <w:r>
              <w:rPr>
                <w:sz w:val="24"/>
              </w:rPr>
              <w:t>推广使用可降解抹布或采取措施减少油品滴漏，定期对员工进行培训，</w:t>
            </w:r>
            <w:r>
              <w:rPr>
                <w:rFonts w:hint="eastAsia"/>
                <w:sz w:val="24"/>
              </w:rPr>
              <w:t>严禁将其</w:t>
            </w:r>
            <w:r>
              <w:rPr>
                <w:sz w:val="24"/>
              </w:rPr>
              <w:t>混入生活垃圾中</w:t>
            </w:r>
            <w:r>
              <w:rPr>
                <w:rFonts w:hint="eastAsia"/>
                <w:sz w:val="24"/>
              </w:rPr>
              <w:t>，</w:t>
            </w:r>
            <w:r>
              <w:rPr>
                <w:sz w:val="24"/>
              </w:rPr>
              <w:t>明确</w:t>
            </w:r>
            <w:r>
              <w:rPr>
                <w:rFonts w:hint="eastAsia"/>
                <w:sz w:val="24"/>
              </w:rPr>
              <w:t>废弃含油抹布、劳保用品</w:t>
            </w:r>
            <w:r>
              <w:rPr>
                <w:sz w:val="24"/>
              </w:rPr>
              <w:t>分类</w:t>
            </w:r>
            <w:r>
              <w:rPr>
                <w:rFonts w:hint="eastAsia"/>
                <w:sz w:val="24"/>
              </w:rPr>
              <w:t>管理</w:t>
            </w:r>
            <w:r>
              <w:rPr>
                <w:sz w:val="24"/>
              </w:rPr>
              <w:t>要求，以避免因误判而导致的</w:t>
            </w:r>
            <w:r>
              <w:rPr>
                <w:rFonts w:hint="eastAsia"/>
                <w:sz w:val="24"/>
              </w:rPr>
              <w:t>环境</w:t>
            </w:r>
            <w:r>
              <w:rPr>
                <w:sz w:val="24"/>
              </w:rPr>
              <w:t>风险</w:t>
            </w:r>
            <w:r>
              <w:rPr>
                <w:rFonts w:hint="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63" w:hRule="atLeast"/>
          <w:jc w:val="center"/>
        </w:trPr>
        <w:tc>
          <w:tcPr>
            <w:tcW w:w="841" w:type="dxa"/>
            <w:vAlign w:val="center"/>
          </w:tcPr>
          <w:p>
            <w:pPr>
              <w:jc w:val="center"/>
              <w:rPr>
                <w:spacing w:val="-8"/>
                <w:sz w:val="24"/>
              </w:rPr>
            </w:pPr>
            <w:r>
              <w:rPr>
                <w:spacing w:val="-8"/>
                <w:sz w:val="24"/>
              </w:rPr>
              <w:t>其他环境</w:t>
            </w:r>
          </w:p>
          <w:p>
            <w:pPr>
              <w:jc w:val="center"/>
              <w:rPr>
                <w:spacing w:val="-8"/>
                <w:sz w:val="24"/>
              </w:rPr>
            </w:pPr>
            <w:r>
              <w:rPr>
                <w:spacing w:val="-8"/>
                <w:sz w:val="24"/>
              </w:rPr>
              <w:t>管理要求</w:t>
            </w:r>
          </w:p>
        </w:tc>
        <w:tc>
          <w:tcPr>
            <w:tcW w:w="7959" w:type="dxa"/>
            <w:gridSpan w:val="4"/>
            <w:vAlign w:val="center"/>
          </w:tcPr>
          <w:p>
            <w:pPr>
              <w:rPr>
                <w:sz w:val="24"/>
              </w:rPr>
            </w:pPr>
            <w:r>
              <w:rPr>
                <w:sz w:val="24"/>
              </w:rPr>
              <w:t>工作区内需指定专门的人员，在本项目实施时严格执行“三同时”制度，保证项目运营时三废均能得到有效处理后达标排放。在日常生产中，应加强环保管理，大力推行清洁生产，并加强职工对污染要“以防为主，防治结合”的认识。另外，应加强对设备运行状况的检查，制定检查方案与实施计划，严防出故障，对三废处理装置要定期检修，以确保污染物达标排放。按照相关要求，对排污口进行规范化管理，在正确的排放点位设置标识，以便进行自主验收和规范化管理。</w:t>
            </w:r>
          </w:p>
        </w:tc>
      </w:tr>
    </w:tbl>
    <w:p>
      <w:pPr>
        <w:pStyle w:val="15"/>
        <w:adjustRightInd w:val="0"/>
        <w:snapToGrid w:val="0"/>
        <w:spacing w:before="0" w:beforeAutospacing="0" w:after="0" w:afterAutospacing="0"/>
        <w:outlineLvl w:val="0"/>
        <w:rPr>
          <w:rFonts w:ascii="Times New Roman" w:hAnsi="Times New Roman"/>
          <w:snapToGrid w:val="0"/>
          <w:sz w:val="30"/>
          <w:szCs w:val="30"/>
        </w:rPr>
      </w:pPr>
      <w:r>
        <w:rPr>
          <w:rFonts w:ascii="Times New Roman" w:hAnsi="Times New Roman"/>
          <w:snapToGrid w:val="0"/>
        </w:rPr>
        <w:br w:type="page"/>
      </w:r>
      <w:bookmarkStart w:id="26" w:name="_Toc210915805"/>
      <w:r>
        <w:rPr>
          <w:rFonts w:ascii="Times New Roman" w:hAnsi="Times New Roman"/>
          <w:snapToGrid w:val="0"/>
          <w:sz w:val="30"/>
          <w:szCs w:val="30"/>
        </w:rPr>
        <w:t>六、结论</w:t>
      </w:r>
      <w:bookmarkEnd w:id="26"/>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76" w:hRule="atLeast"/>
          <w:jc w:val="center"/>
        </w:trPr>
        <w:tc>
          <w:tcPr>
            <w:tcW w:w="8865" w:type="dxa"/>
          </w:tcPr>
          <w:p>
            <w:pPr>
              <w:pStyle w:val="52"/>
              <w:ind w:firstLine="480"/>
              <w:rPr>
                <w:rFonts w:cs="Times New Roman"/>
                <w:color w:val="auto"/>
                <w:sz w:val="24"/>
              </w:rPr>
            </w:pPr>
            <w:r>
              <w:rPr>
                <w:rFonts w:cs="Times New Roman"/>
                <w:color w:val="auto"/>
                <w:sz w:val="24"/>
              </w:rPr>
              <w:t>本项目属于</w:t>
            </w:r>
            <w:r>
              <w:rPr>
                <w:rFonts w:hint="eastAsia" w:cs="Times New Roman"/>
                <w:color w:val="auto"/>
                <w:sz w:val="24"/>
              </w:rPr>
              <w:t>新建</w:t>
            </w:r>
            <w:r>
              <w:rPr>
                <w:rFonts w:cs="Times New Roman"/>
                <w:color w:val="auto"/>
                <w:sz w:val="24"/>
              </w:rPr>
              <w:t>项目，项目建设各个阶段在确保严格落实本报告表提出的污染物防治措施的前提下，对地表水环境、环境空气、声环境等的影响较小，可以被周围环境所接受，能够做到社会效益、经济效益和环境效益的统一。本项目的环保投资基本合理，因此，本项目的建设从环境保护的角度而言是可行的。</w:t>
            </w:r>
          </w:p>
        </w:tc>
      </w:tr>
    </w:tbl>
    <w:p>
      <w:pPr>
        <w:ind w:firstLine="420"/>
        <w:sectPr>
          <w:pgSz w:w="11906" w:h="16838"/>
          <w:pgMar w:top="1701" w:right="1531" w:bottom="1701" w:left="1531" w:header="851" w:footer="851" w:gutter="0"/>
          <w:cols w:space="720" w:num="1"/>
          <w:docGrid w:linePitch="312" w:charSpace="0"/>
        </w:sectPr>
      </w:pPr>
    </w:p>
    <w:p>
      <w:pPr>
        <w:pStyle w:val="15"/>
        <w:adjustRightInd w:val="0"/>
        <w:snapToGrid w:val="0"/>
        <w:spacing w:before="0" w:beforeAutospacing="0" w:after="0" w:afterAutospacing="0"/>
        <w:outlineLvl w:val="0"/>
        <w:rPr>
          <w:rFonts w:ascii="Times New Roman" w:hAnsi="Times New Roman"/>
          <w:snapToGrid w:val="0"/>
          <w:sz w:val="30"/>
          <w:szCs w:val="30"/>
        </w:rPr>
      </w:pPr>
      <w:bookmarkStart w:id="27" w:name="_Toc210915806"/>
      <w:r>
        <w:rPr>
          <w:rFonts w:ascii="Times New Roman" w:hAnsi="Times New Roman"/>
          <w:snapToGrid w:val="0"/>
          <w:sz w:val="30"/>
          <w:szCs w:val="30"/>
        </w:rPr>
        <w:t>附表</w:t>
      </w:r>
      <w:bookmarkEnd w:id="27"/>
    </w:p>
    <w:p>
      <w:pPr>
        <w:pStyle w:val="15"/>
        <w:adjustRightInd w:val="0"/>
        <w:snapToGrid w:val="0"/>
        <w:spacing w:before="0" w:beforeAutospacing="0" w:after="0" w:afterAutospacing="0"/>
        <w:jc w:val="center"/>
        <w:outlineLvl w:val="1"/>
        <w:rPr>
          <w:rFonts w:ascii="Times New Roman" w:hAnsi="Times New Roman"/>
          <w:b/>
          <w:bCs/>
          <w:snapToGrid w:val="0"/>
          <w:sz w:val="32"/>
          <w:szCs w:val="32"/>
        </w:rPr>
      </w:pPr>
      <w:bookmarkStart w:id="28" w:name="_Toc210915807"/>
      <w:r>
        <w:rPr>
          <w:rFonts w:ascii="Times New Roman" w:hAnsi="Times New Roman"/>
          <w:b/>
          <w:bCs/>
          <w:snapToGrid w:val="0"/>
          <w:sz w:val="32"/>
          <w:szCs w:val="32"/>
        </w:rPr>
        <w:t>建设项目污染物排放量汇总表</w:t>
      </w:r>
      <w:bookmarkEnd w:id="28"/>
    </w:p>
    <w:tbl>
      <w:tblPr>
        <w:tblStyle w:val="20"/>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04"/>
        <w:gridCol w:w="1701"/>
        <w:gridCol w:w="1701"/>
        <w:gridCol w:w="1276"/>
        <w:gridCol w:w="1701"/>
        <w:gridCol w:w="1559"/>
        <w:gridCol w:w="1761"/>
        <w:gridCol w:w="1603"/>
        <w:gridCol w:w="118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1304" w:type="dxa"/>
            <w:tcBorders>
              <w:tl2br w:val="single" w:color="auto" w:sz="4" w:space="0"/>
            </w:tcBorders>
            <w:tcMar>
              <w:left w:w="28" w:type="dxa"/>
              <w:right w:w="28" w:type="dxa"/>
            </w:tcMar>
            <w:vAlign w:val="center"/>
          </w:tcPr>
          <w:p>
            <w:pPr>
              <w:pStyle w:val="36"/>
              <w:spacing w:beforeLines="0" w:afterLines="0" w:line="240" w:lineRule="auto"/>
              <w:jc w:val="right"/>
              <w:rPr>
                <w:rFonts w:ascii="Times New Roman"/>
                <w:snapToGrid w:val="0"/>
                <w:spacing w:val="-6"/>
                <w:kern w:val="21"/>
                <w:szCs w:val="21"/>
              </w:rPr>
            </w:pPr>
            <w:r>
              <w:rPr>
                <w:rFonts w:ascii="Times New Roman"/>
                <w:snapToGrid w:val="0"/>
                <w:spacing w:val="-6"/>
                <w:kern w:val="21"/>
                <w:szCs w:val="21"/>
              </w:rPr>
              <w:t>项目</w:t>
            </w:r>
          </w:p>
          <w:p>
            <w:pPr>
              <w:pStyle w:val="36"/>
              <w:spacing w:beforeLines="0" w:afterLines="0" w:line="240" w:lineRule="auto"/>
              <w:jc w:val="left"/>
              <w:rPr>
                <w:rFonts w:ascii="Times New Roman"/>
                <w:snapToGrid w:val="0"/>
                <w:spacing w:val="-6"/>
                <w:kern w:val="21"/>
                <w:szCs w:val="21"/>
              </w:rPr>
            </w:pPr>
            <w:r>
              <w:rPr>
                <w:rFonts w:ascii="Times New Roman"/>
                <w:snapToGrid w:val="0"/>
                <w:spacing w:val="-6"/>
                <w:kern w:val="21"/>
                <w:szCs w:val="21"/>
              </w:rPr>
              <w:t>分类</w:t>
            </w:r>
          </w:p>
        </w:tc>
        <w:tc>
          <w:tcPr>
            <w:tcW w:w="1701" w:type="dxa"/>
            <w:tcMar>
              <w:left w:w="28" w:type="dxa"/>
              <w:right w:w="28" w:type="dxa"/>
            </w:tcMar>
            <w:vAlign w:val="center"/>
          </w:tcPr>
          <w:p>
            <w:pPr>
              <w:pStyle w:val="36"/>
              <w:spacing w:beforeLines="0" w:afterLines="0" w:line="240" w:lineRule="auto"/>
              <w:rPr>
                <w:rFonts w:ascii="Times New Roman"/>
                <w:snapToGrid w:val="0"/>
                <w:spacing w:val="-6"/>
                <w:kern w:val="21"/>
                <w:szCs w:val="21"/>
              </w:rPr>
            </w:pPr>
            <w:r>
              <w:rPr>
                <w:rFonts w:ascii="Times New Roman"/>
                <w:snapToGrid w:val="0"/>
                <w:spacing w:val="-6"/>
                <w:kern w:val="21"/>
                <w:szCs w:val="21"/>
              </w:rPr>
              <w:t>污染物名称</w:t>
            </w:r>
          </w:p>
        </w:tc>
        <w:tc>
          <w:tcPr>
            <w:tcW w:w="1701" w:type="dxa"/>
            <w:tcMar>
              <w:left w:w="28" w:type="dxa"/>
              <w:right w:w="28" w:type="dxa"/>
            </w:tcMar>
            <w:vAlign w:val="center"/>
          </w:tcPr>
          <w:p>
            <w:pPr>
              <w:pStyle w:val="36"/>
              <w:spacing w:beforeLines="0" w:afterLines="0" w:line="240" w:lineRule="auto"/>
              <w:rPr>
                <w:rFonts w:ascii="Times New Roman"/>
                <w:snapToGrid w:val="0"/>
                <w:spacing w:val="-6"/>
                <w:kern w:val="21"/>
                <w:szCs w:val="21"/>
              </w:rPr>
            </w:pPr>
            <w:r>
              <w:rPr>
                <w:rFonts w:ascii="Times New Roman"/>
                <w:snapToGrid w:val="0"/>
                <w:spacing w:val="-6"/>
                <w:kern w:val="21"/>
                <w:szCs w:val="21"/>
              </w:rPr>
              <w:t>现有工程</w:t>
            </w:r>
          </w:p>
          <w:p>
            <w:pPr>
              <w:pStyle w:val="36"/>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hint="eastAsia" w:hAnsi="宋体" w:cs="宋体"/>
                <w:kern w:val="2"/>
                <w:szCs w:val="21"/>
              </w:rPr>
              <w:t>①</w:t>
            </w:r>
            <w:r>
              <w:rPr>
                <w:rFonts w:ascii="Times New Roman"/>
                <w:snapToGrid w:val="0"/>
                <w:spacing w:val="-6"/>
                <w:kern w:val="21"/>
                <w:szCs w:val="21"/>
              </w:rPr>
              <w:fldChar w:fldCharType="end"/>
            </w:r>
          </w:p>
        </w:tc>
        <w:tc>
          <w:tcPr>
            <w:tcW w:w="1276" w:type="dxa"/>
            <w:tcMar>
              <w:left w:w="28" w:type="dxa"/>
              <w:right w:w="28" w:type="dxa"/>
            </w:tcMar>
            <w:vAlign w:val="center"/>
          </w:tcPr>
          <w:p>
            <w:pPr>
              <w:pStyle w:val="36"/>
              <w:spacing w:beforeLines="0" w:afterLines="0" w:line="240" w:lineRule="auto"/>
              <w:rPr>
                <w:rFonts w:ascii="Times New Roman"/>
                <w:snapToGrid w:val="0"/>
                <w:spacing w:val="-6"/>
                <w:kern w:val="21"/>
                <w:szCs w:val="21"/>
              </w:rPr>
            </w:pPr>
            <w:r>
              <w:rPr>
                <w:rFonts w:ascii="Times New Roman"/>
                <w:snapToGrid w:val="0"/>
                <w:spacing w:val="-6"/>
                <w:kern w:val="21"/>
                <w:szCs w:val="21"/>
              </w:rPr>
              <w:t>现有工程</w:t>
            </w:r>
          </w:p>
          <w:p>
            <w:pPr>
              <w:pStyle w:val="36"/>
              <w:spacing w:beforeLines="0" w:afterLines="0" w:line="240" w:lineRule="auto"/>
              <w:rPr>
                <w:rFonts w:ascii="Times New Roman"/>
                <w:snapToGrid w:val="0"/>
                <w:spacing w:val="-6"/>
                <w:kern w:val="21"/>
                <w:szCs w:val="21"/>
              </w:rPr>
            </w:pPr>
            <w:r>
              <w:rPr>
                <w:rFonts w:ascii="Times New Roman"/>
                <w:snapToGrid w:val="0"/>
                <w:spacing w:val="-6"/>
                <w:kern w:val="21"/>
                <w:szCs w:val="21"/>
              </w:rPr>
              <w:t>许可排放量</w:t>
            </w:r>
          </w:p>
          <w:p>
            <w:pPr>
              <w:pStyle w:val="36"/>
              <w:spacing w:beforeLines="0" w:afterLines="0"/>
              <w:rPr>
                <w:rFonts w:ascii="Times New Roman"/>
                <w:snapToGrid w:val="0"/>
                <w:spacing w:val="-6"/>
                <w:kern w:val="21"/>
                <w:szCs w:val="21"/>
              </w:rPr>
            </w:pPr>
            <w:r>
              <w:rPr>
                <w:rFonts w:ascii="Times New Roman"/>
                <w:snapToGrid w:val="0"/>
                <w:spacing w:val="-6"/>
                <w:kern w:val="21"/>
                <w:szCs w:val="21"/>
              </w:rPr>
              <w:fldChar w:fldCharType="begin"/>
            </w:r>
            <w:r>
              <w:rPr>
                <w:rFonts w:ascii="Times New Roman"/>
                <w:snapToGrid w:val="0"/>
                <w:spacing w:val="-6"/>
                <w:kern w:val="21"/>
                <w:szCs w:val="21"/>
              </w:rPr>
              <w:instrText xml:space="preserve"> = 2 \* GB3 \* MERGEFORMAT </w:instrText>
            </w:r>
            <w:r>
              <w:rPr>
                <w:rFonts w:ascii="Times New Roman"/>
                <w:snapToGrid w:val="0"/>
                <w:spacing w:val="-6"/>
                <w:kern w:val="21"/>
                <w:szCs w:val="21"/>
              </w:rPr>
              <w:fldChar w:fldCharType="separate"/>
            </w:r>
            <w:r>
              <w:rPr>
                <w:rFonts w:hint="eastAsia" w:hAnsi="宋体" w:cs="宋体"/>
                <w:snapToGrid w:val="0"/>
                <w:spacing w:val="-6"/>
                <w:kern w:val="21"/>
                <w:szCs w:val="21"/>
              </w:rPr>
              <w:t>②</w:t>
            </w:r>
            <w:r>
              <w:rPr>
                <w:rFonts w:ascii="Times New Roman"/>
                <w:snapToGrid w:val="0"/>
                <w:spacing w:val="-6"/>
                <w:kern w:val="21"/>
                <w:szCs w:val="21"/>
              </w:rPr>
              <w:fldChar w:fldCharType="end"/>
            </w:r>
          </w:p>
        </w:tc>
        <w:tc>
          <w:tcPr>
            <w:tcW w:w="1701" w:type="dxa"/>
            <w:tcMar>
              <w:left w:w="28" w:type="dxa"/>
              <w:right w:w="28" w:type="dxa"/>
            </w:tcMar>
            <w:vAlign w:val="center"/>
          </w:tcPr>
          <w:p>
            <w:pPr>
              <w:pStyle w:val="36"/>
              <w:spacing w:beforeLines="0" w:afterLines="0" w:line="240" w:lineRule="auto"/>
              <w:rPr>
                <w:rFonts w:ascii="Times New Roman"/>
                <w:snapToGrid w:val="0"/>
                <w:spacing w:val="-6"/>
                <w:kern w:val="21"/>
                <w:szCs w:val="21"/>
              </w:rPr>
            </w:pPr>
            <w:r>
              <w:rPr>
                <w:rFonts w:ascii="Times New Roman"/>
                <w:snapToGrid w:val="0"/>
                <w:spacing w:val="-6"/>
                <w:kern w:val="21"/>
                <w:szCs w:val="21"/>
              </w:rPr>
              <w:t>在建工程</w:t>
            </w:r>
          </w:p>
          <w:p>
            <w:pPr>
              <w:pStyle w:val="36"/>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hint="eastAsia" w:hAnsi="宋体" w:cs="宋体"/>
                <w:kern w:val="2"/>
                <w:szCs w:val="21"/>
              </w:rPr>
              <w:t>③</w:t>
            </w:r>
            <w:r>
              <w:rPr>
                <w:rFonts w:ascii="Times New Roman"/>
                <w:snapToGrid w:val="0"/>
                <w:spacing w:val="-6"/>
                <w:kern w:val="21"/>
                <w:szCs w:val="21"/>
              </w:rPr>
              <w:fldChar w:fldCharType="end"/>
            </w:r>
          </w:p>
        </w:tc>
        <w:tc>
          <w:tcPr>
            <w:tcW w:w="1559" w:type="dxa"/>
            <w:tcMar>
              <w:left w:w="28" w:type="dxa"/>
              <w:right w:w="28" w:type="dxa"/>
            </w:tcMar>
            <w:vAlign w:val="center"/>
          </w:tcPr>
          <w:p>
            <w:pPr>
              <w:pStyle w:val="36"/>
              <w:spacing w:beforeLines="0" w:afterLines="0" w:line="240" w:lineRule="auto"/>
              <w:rPr>
                <w:rFonts w:ascii="Times New Roman"/>
                <w:snapToGrid w:val="0"/>
                <w:spacing w:val="-6"/>
                <w:kern w:val="21"/>
                <w:szCs w:val="21"/>
              </w:rPr>
            </w:pPr>
            <w:r>
              <w:rPr>
                <w:rFonts w:ascii="Times New Roman"/>
                <w:snapToGrid w:val="0"/>
                <w:spacing w:val="-6"/>
                <w:kern w:val="21"/>
                <w:szCs w:val="21"/>
              </w:rPr>
              <w:t>本项目</w:t>
            </w:r>
          </w:p>
          <w:p>
            <w:pPr>
              <w:pStyle w:val="36"/>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hint="eastAsia" w:hAnsi="宋体" w:cs="宋体"/>
                <w:kern w:val="2"/>
                <w:szCs w:val="21"/>
              </w:rPr>
              <w:t>④</w:t>
            </w:r>
            <w:r>
              <w:rPr>
                <w:rFonts w:ascii="Times New Roman"/>
                <w:snapToGrid w:val="0"/>
                <w:spacing w:val="-6"/>
                <w:kern w:val="21"/>
                <w:szCs w:val="21"/>
              </w:rPr>
              <w:fldChar w:fldCharType="end"/>
            </w:r>
          </w:p>
        </w:tc>
        <w:tc>
          <w:tcPr>
            <w:tcW w:w="1761" w:type="dxa"/>
            <w:tcMar>
              <w:left w:w="28" w:type="dxa"/>
              <w:right w:w="28" w:type="dxa"/>
            </w:tcMar>
            <w:vAlign w:val="center"/>
          </w:tcPr>
          <w:p>
            <w:pPr>
              <w:pStyle w:val="36"/>
              <w:spacing w:beforeLines="0" w:afterLines="0" w:line="240" w:lineRule="auto"/>
              <w:rPr>
                <w:rFonts w:ascii="Times New Roman"/>
                <w:snapToGrid w:val="0"/>
                <w:spacing w:val="-16"/>
                <w:kern w:val="21"/>
                <w:szCs w:val="21"/>
              </w:rPr>
            </w:pPr>
            <w:r>
              <w:rPr>
                <w:rFonts w:ascii="Times New Roman"/>
                <w:snapToGrid w:val="0"/>
                <w:spacing w:val="-16"/>
                <w:kern w:val="21"/>
                <w:szCs w:val="21"/>
              </w:rPr>
              <w:t>以新带老削减量</w:t>
            </w:r>
          </w:p>
          <w:p>
            <w:pPr>
              <w:pStyle w:val="36"/>
              <w:spacing w:beforeLines="0" w:afterLines="0" w:line="240" w:lineRule="auto"/>
              <w:rPr>
                <w:rFonts w:ascii="Times New Roman"/>
                <w:snapToGrid w:val="0"/>
                <w:spacing w:val="-16"/>
                <w:kern w:val="21"/>
                <w:szCs w:val="21"/>
              </w:rPr>
            </w:pPr>
            <w:r>
              <w:rPr>
                <w:rFonts w:ascii="Times New Roman"/>
                <w:snapToGrid w:val="0"/>
                <w:spacing w:val="-16"/>
                <w:kern w:val="21"/>
                <w:szCs w:val="21"/>
              </w:rPr>
              <w:t>（新建项目不填）</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hint="eastAsia" w:hAnsi="宋体" w:cs="宋体"/>
                <w:kern w:val="2"/>
                <w:szCs w:val="21"/>
              </w:rPr>
              <w:t>⑤</w:t>
            </w:r>
            <w:r>
              <w:rPr>
                <w:rFonts w:ascii="Times New Roman"/>
                <w:snapToGrid w:val="0"/>
                <w:spacing w:val="-16"/>
                <w:kern w:val="21"/>
                <w:szCs w:val="21"/>
              </w:rPr>
              <w:fldChar w:fldCharType="end"/>
            </w:r>
          </w:p>
        </w:tc>
        <w:tc>
          <w:tcPr>
            <w:tcW w:w="1603" w:type="dxa"/>
            <w:tcMar>
              <w:left w:w="28" w:type="dxa"/>
              <w:right w:w="28" w:type="dxa"/>
            </w:tcMar>
            <w:vAlign w:val="center"/>
          </w:tcPr>
          <w:p>
            <w:pPr>
              <w:pStyle w:val="36"/>
              <w:spacing w:beforeLines="0" w:afterLines="0" w:line="240" w:lineRule="auto"/>
              <w:rPr>
                <w:rFonts w:ascii="Times New Roman"/>
                <w:snapToGrid w:val="0"/>
                <w:spacing w:val="-16"/>
                <w:kern w:val="21"/>
                <w:szCs w:val="21"/>
              </w:rPr>
            </w:pPr>
            <w:r>
              <w:rPr>
                <w:rFonts w:ascii="Times New Roman"/>
                <w:snapToGrid w:val="0"/>
                <w:spacing w:val="-16"/>
                <w:kern w:val="21"/>
                <w:szCs w:val="21"/>
              </w:rPr>
              <w:t>本项目建成后</w:t>
            </w:r>
          </w:p>
          <w:p>
            <w:pPr>
              <w:pStyle w:val="36"/>
              <w:spacing w:beforeLines="0" w:afterLines="0" w:line="240" w:lineRule="auto"/>
              <w:rPr>
                <w:rFonts w:ascii="Times New Roman"/>
                <w:snapToGrid w:val="0"/>
                <w:spacing w:val="-16"/>
                <w:kern w:val="21"/>
                <w:szCs w:val="21"/>
              </w:rPr>
            </w:pPr>
            <w:r>
              <w:rPr>
                <w:rFonts w:ascii="Times New Roman"/>
                <w:snapToGrid w:val="0"/>
                <w:spacing w:val="-16"/>
                <w:kern w:val="21"/>
                <w:szCs w:val="21"/>
              </w:rPr>
              <w:t>全厂排放量（固体废物产生量）</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hint="eastAsia" w:hAnsi="宋体" w:cs="宋体"/>
                <w:kern w:val="2"/>
                <w:szCs w:val="21"/>
              </w:rPr>
              <w:t>⑥</w:t>
            </w:r>
            <w:r>
              <w:rPr>
                <w:rFonts w:ascii="Times New Roman"/>
                <w:snapToGrid w:val="0"/>
                <w:spacing w:val="-16"/>
                <w:kern w:val="21"/>
                <w:szCs w:val="21"/>
              </w:rPr>
              <w:fldChar w:fldCharType="end"/>
            </w:r>
          </w:p>
        </w:tc>
        <w:tc>
          <w:tcPr>
            <w:tcW w:w="1182" w:type="dxa"/>
            <w:tcMar>
              <w:left w:w="28" w:type="dxa"/>
              <w:right w:w="28" w:type="dxa"/>
            </w:tcMar>
            <w:vAlign w:val="center"/>
          </w:tcPr>
          <w:p>
            <w:pPr>
              <w:pStyle w:val="36"/>
              <w:spacing w:beforeLines="0" w:afterLines="0" w:line="240" w:lineRule="auto"/>
              <w:rPr>
                <w:rFonts w:ascii="Times New Roman"/>
                <w:snapToGrid w:val="0"/>
                <w:spacing w:val="-6"/>
                <w:kern w:val="21"/>
                <w:szCs w:val="21"/>
              </w:rPr>
            </w:pPr>
            <w:r>
              <w:rPr>
                <w:rFonts w:ascii="Times New Roman"/>
                <w:snapToGrid w:val="0"/>
                <w:spacing w:val="-6"/>
                <w:kern w:val="21"/>
                <w:szCs w:val="21"/>
              </w:rPr>
              <w:t>变化量</w:t>
            </w:r>
          </w:p>
          <w:p>
            <w:pPr>
              <w:pStyle w:val="36"/>
              <w:spacing w:beforeLines="0" w:afterLines="0" w:line="240" w:lineRule="auto"/>
              <w:rPr>
                <w:rFonts w:ascii="Times New Roman"/>
                <w:snapToGrid w:val="0"/>
                <w:spacing w:val="-6"/>
                <w:kern w:val="21"/>
                <w:szCs w:val="21"/>
              </w:rPr>
            </w:pP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hint="eastAsia" w:hAnsi="宋体" w:cs="宋体"/>
                <w:kern w:val="2"/>
                <w:szCs w:val="21"/>
              </w:rPr>
              <w:t>⑦</w:t>
            </w:r>
            <w:r>
              <w:rPr>
                <w:rFonts w:ascii="Times New Roman"/>
                <w:snapToGrid w:val="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04" w:type="dxa"/>
            <w:vAlign w:val="center"/>
          </w:tcPr>
          <w:p>
            <w:pPr>
              <w:jc w:val="center"/>
              <w:rPr>
                <w:kern w:val="0"/>
                <w:szCs w:val="21"/>
              </w:rPr>
            </w:pPr>
            <w:r>
              <w:rPr>
                <w:kern w:val="0"/>
                <w:szCs w:val="21"/>
              </w:rPr>
              <w:t>废气</w:t>
            </w:r>
          </w:p>
        </w:tc>
        <w:tc>
          <w:tcPr>
            <w:tcW w:w="1701" w:type="dxa"/>
            <w:vAlign w:val="center"/>
          </w:tcPr>
          <w:p>
            <w:pPr>
              <w:jc w:val="center"/>
              <w:rPr>
                <w:kern w:val="0"/>
                <w:szCs w:val="21"/>
              </w:rPr>
            </w:pPr>
            <w:r>
              <w:rPr>
                <w:rFonts w:hint="eastAsia"/>
                <w:kern w:val="0"/>
                <w:szCs w:val="21"/>
              </w:rPr>
              <w:t>工业粉尘</w:t>
            </w:r>
          </w:p>
        </w:tc>
        <w:tc>
          <w:tcPr>
            <w:tcW w:w="1701" w:type="dxa"/>
            <w:vAlign w:val="center"/>
          </w:tcPr>
          <w:p>
            <w:pPr>
              <w:jc w:val="center"/>
              <w:rPr>
                <w:kern w:val="0"/>
                <w:szCs w:val="21"/>
              </w:rPr>
            </w:pPr>
            <w:r>
              <w:rPr>
                <w:kern w:val="0"/>
                <w:szCs w:val="21"/>
              </w:rPr>
              <w:t>/</w:t>
            </w:r>
          </w:p>
        </w:tc>
        <w:tc>
          <w:tcPr>
            <w:tcW w:w="1276" w:type="dxa"/>
            <w:vAlign w:val="center"/>
          </w:tcPr>
          <w:p>
            <w:pPr>
              <w:jc w:val="center"/>
              <w:rPr>
                <w:kern w:val="0"/>
                <w:szCs w:val="21"/>
              </w:rPr>
            </w:pPr>
            <w:r>
              <w:rPr>
                <w:kern w:val="0"/>
                <w:szCs w:val="21"/>
              </w:rPr>
              <w:t>/</w:t>
            </w:r>
          </w:p>
        </w:tc>
        <w:tc>
          <w:tcPr>
            <w:tcW w:w="1701" w:type="dxa"/>
            <w:vAlign w:val="center"/>
          </w:tcPr>
          <w:p>
            <w:pPr>
              <w:jc w:val="center"/>
              <w:rPr>
                <w:kern w:val="0"/>
                <w:szCs w:val="21"/>
              </w:rPr>
            </w:pPr>
            <w:r>
              <w:rPr>
                <w:kern w:val="0"/>
                <w:szCs w:val="21"/>
              </w:rPr>
              <w:t>/</w:t>
            </w:r>
          </w:p>
        </w:tc>
        <w:tc>
          <w:tcPr>
            <w:tcW w:w="1559" w:type="dxa"/>
            <w:vAlign w:val="center"/>
          </w:tcPr>
          <w:p>
            <w:pPr>
              <w:jc w:val="center"/>
              <w:rPr>
                <w:kern w:val="0"/>
                <w:szCs w:val="21"/>
              </w:rPr>
            </w:pPr>
            <w:r>
              <w:rPr>
                <w:kern w:val="0"/>
                <w:szCs w:val="21"/>
              </w:rPr>
              <w:t>6.366</w:t>
            </w:r>
          </w:p>
        </w:tc>
        <w:tc>
          <w:tcPr>
            <w:tcW w:w="1761" w:type="dxa"/>
            <w:vAlign w:val="center"/>
          </w:tcPr>
          <w:p>
            <w:pPr>
              <w:jc w:val="center"/>
              <w:rPr>
                <w:kern w:val="0"/>
                <w:szCs w:val="21"/>
              </w:rPr>
            </w:pPr>
            <w:r>
              <w:rPr>
                <w:kern w:val="0"/>
                <w:szCs w:val="21"/>
              </w:rPr>
              <w:t>/</w:t>
            </w:r>
          </w:p>
        </w:tc>
        <w:tc>
          <w:tcPr>
            <w:tcW w:w="1603" w:type="dxa"/>
            <w:vAlign w:val="center"/>
          </w:tcPr>
          <w:p>
            <w:pPr>
              <w:jc w:val="center"/>
              <w:rPr>
                <w:szCs w:val="21"/>
              </w:rPr>
            </w:pPr>
            <w:r>
              <w:rPr>
                <w:szCs w:val="21"/>
              </w:rPr>
              <w:t>6.366</w:t>
            </w:r>
          </w:p>
        </w:tc>
        <w:tc>
          <w:tcPr>
            <w:tcW w:w="1182" w:type="dxa"/>
            <w:vAlign w:val="center"/>
          </w:tcPr>
          <w:p>
            <w:pPr>
              <w:jc w:val="center"/>
              <w:rPr>
                <w:kern w:val="0"/>
                <w:szCs w:val="21"/>
              </w:rPr>
            </w:pPr>
            <w:r>
              <w:rPr>
                <w:szCs w:val="21"/>
              </w:rPr>
              <w:t>6.366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04" w:type="dxa"/>
            <w:vMerge w:val="restart"/>
            <w:vAlign w:val="center"/>
          </w:tcPr>
          <w:p>
            <w:pPr>
              <w:jc w:val="center"/>
              <w:rPr>
                <w:kern w:val="0"/>
                <w:szCs w:val="21"/>
              </w:rPr>
            </w:pPr>
            <w:r>
              <w:rPr>
                <w:snapToGrid w:val="0"/>
                <w:kern w:val="21"/>
                <w:szCs w:val="21"/>
              </w:rPr>
              <w:t>废水</w:t>
            </w:r>
          </w:p>
        </w:tc>
        <w:tc>
          <w:tcPr>
            <w:tcW w:w="1701" w:type="dxa"/>
            <w:vAlign w:val="center"/>
          </w:tcPr>
          <w:p>
            <w:pPr>
              <w:jc w:val="center"/>
              <w:rPr>
                <w:kern w:val="0"/>
                <w:szCs w:val="21"/>
              </w:rPr>
            </w:pPr>
            <w:r>
              <w:rPr>
                <w:rFonts w:hint="eastAsia"/>
                <w:kern w:val="0"/>
                <w:szCs w:val="21"/>
              </w:rPr>
              <w:t>COD</w:t>
            </w:r>
          </w:p>
        </w:tc>
        <w:tc>
          <w:tcPr>
            <w:tcW w:w="1701" w:type="dxa"/>
            <w:vAlign w:val="center"/>
          </w:tcPr>
          <w:p>
            <w:pPr>
              <w:jc w:val="center"/>
              <w:rPr>
                <w:kern w:val="0"/>
                <w:szCs w:val="21"/>
              </w:rPr>
            </w:pPr>
            <w:r>
              <w:rPr>
                <w:kern w:val="0"/>
                <w:szCs w:val="21"/>
              </w:rPr>
              <w:t>/</w:t>
            </w:r>
          </w:p>
        </w:tc>
        <w:tc>
          <w:tcPr>
            <w:tcW w:w="1276" w:type="dxa"/>
            <w:vAlign w:val="center"/>
          </w:tcPr>
          <w:p>
            <w:pPr>
              <w:jc w:val="center"/>
              <w:rPr>
                <w:kern w:val="0"/>
                <w:szCs w:val="21"/>
              </w:rPr>
            </w:pPr>
            <w:r>
              <w:rPr>
                <w:kern w:val="0"/>
                <w:szCs w:val="21"/>
              </w:rPr>
              <w:t>/</w:t>
            </w:r>
          </w:p>
        </w:tc>
        <w:tc>
          <w:tcPr>
            <w:tcW w:w="1701" w:type="dxa"/>
            <w:vAlign w:val="center"/>
          </w:tcPr>
          <w:p>
            <w:pPr>
              <w:jc w:val="center"/>
              <w:rPr>
                <w:kern w:val="0"/>
                <w:szCs w:val="21"/>
              </w:rPr>
            </w:pPr>
            <w:r>
              <w:rPr>
                <w:kern w:val="0"/>
                <w:szCs w:val="21"/>
              </w:rPr>
              <w:t>/</w:t>
            </w:r>
          </w:p>
        </w:tc>
        <w:tc>
          <w:tcPr>
            <w:tcW w:w="1559" w:type="dxa"/>
            <w:vAlign w:val="center"/>
          </w:tcPr>
          <w:p>
            <w:pPr>
              <w:jc w:val="center"/>
              <w:rPr>
                <w:kern w:val="0"/>
                <w:szCs w:val="21"/>
              </w:rPr>
            </w:pPr>
            <w:r>
              <w:rPr>
                <w:kern w:val="0"/>
                <w:szCs w:val="21"/>
              </w:rPr>
              <w:t>/</w:t>
            </w:r>
          </w:p>
        </w:tc>
        <w:tc>
          <w:tcPr>
            <w:tcW w:w="1761" w:type="dxa"/>
            <w:vAlign w:val="center"/>
          </w:tcPr>
          <w:p>
            <w:pPr>
              <w:jc w:val="center"/>
              <w:rPr>
                <w:kern w:val="0"/>
                <w:szCs w:val="21"/>
              </w:rPr>
            </w:pPr>
            <w:r>
              <w:rPr>
                <w:kern w:val="0"/>
                <w:szCs w:val="21"/>
              </w:rPr>
              <w:t>/</w:t>
            </w:r>
          </w:p>
        </w:tc>
        <w:tc>
          <w:tcPr>
            <w:tcW w:w="1603" w:type="dxa"/>
            <w:vAlign w:val="center"/>
          </w:tcPr>
          <w:p>
            <w:pPr>
              <w:jc w:val="center"/>
              <w:rPr>
                <w:kern w:val="0"/>
                <w:szCs w:val="21"/>
              </w:rPr>
            </w:pPr>
            <w:r>
              <w:rPr>
                <w:kern w:val="0"/>
                <w:szCs w:val="21"/>
              </w:rPr>
              <w:t>/</w:t>
            </w:r>
          </w:p>
        </w:tc>
        <w:tc>
          <w:tcPr>
            <w:tcW w:w="1182" w:type="dxa"/>
            <w:vAlign w:val="center"/>
          </w:tcPr>
          <w:p>
            <w:pPr>
              <w:jc w:val="center"/>
              <w:rPr>
                <w:kern w:val="0"/>
                <w:szCs w:val="21"/>
              </w:rPr>
            </w:pPr>
            <w:r>
              <w:rPr>
                <w:kern w:val="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04" w:type="dxa"/>
            <w:vMerge w:val="continue"/>
            <w:vAlign w:val="center"/>
          </w:tcPr>
          <w:p>
            <w:pPr>
              <w:jc w:val="center"/>
              <w:rPr>
                <w:snapToGrid w:val="0"/>
                <w:kern w:val="21"/>
                <w:szCs w:val="21"/>
              </w:rPr>
            </w:pPr>
          </w:p>
        </w:tc>
        <w:tc>
          <w:tcPr>
            <w:tcW w:w="1701" w:type="dxa"/>
            <w:vAlign w:val="center"/>
          </w:tcPr>
          <w:p>
            <w:pPr>
              <w:jc w:val="center"/>
              <w:rPr>
                <w:kern w:val="0"/>
                <w:szCs w:val="21"/>
              </w:rPr>
            </w:pPr>
            <w:r>
              <w:rPr>
                <w:rFonts w:hint="eastAsia"/>
                <w:kern w:val="0"/>
                <w:szCs w:val="21"/>
              </w:rPr>
              <w:t>氨氮</w:t>
            </w:r>
          </w:p>
        </w:tc>
        <w:tc>
          <w:tcPr>
            <w:tcW w:w="1701" w:type="dxa"/>
            <w:vAlign w:val="center"/>
          </w:tcPr>
          <w:p>
            <w:pPr>
              <w:jc w:val="center"/>
              <w:rPr>
                <w:kern w:val="0"/>
                <w:szCs w:val="21"/>
              </w:rPr>
            </w:pPr>
            <w:r>
              <w:rPr>
                <w:kern w:val="0"/>
                <w:szCs w:val="21"/>
              </w:rPr>
              <w:t>/</w:t>
            </w:r>
          </w:p>
        </w:tc>
        <w:tc>
          <w:tcPr>
            <w:tcW w:w="1276" w:type="dxa"/>
            <w:vAlign w:val="center"/>
          </w:tcPr>
          <w:p>
            <w:pPr>
              <w:jc w:val="center"/>
              <w:rPr>
                <w:kern w:val="0"/>
                <w:szCs w:val="21"/>
              </w:rPr>
            </w:pPr>
            <w:r>
              <w:rPr>
                <w:kern w:val="0"/>
                <w:szCs w:val="21"/>
              </w:rPr>
              <w:t>/</w:t>
            </w:r>
          </w:p>
        </w:tc>
        <w:tc>
          <w:tcPr>
            <w:tcW w:w="1701" w:type="dxa"/>
            <w:vAlign w:val="center"/>
          </w:tcPr>
          <w:p>
            <w:pPr>
              <w:jc w:val="center"/>
              <w:rPr>
                <w:kern w:val="0"/>
                <w:szCs w:val="21"/>
              </w:rPr>
            </w:pPr>
            <w:r>
              <w:rPr>
                <w:rFonts w:hint="eastAsia"/>
                <w:kern w:val="0"/>
                <w:szCs w:val="21"/>
              </w:rPr>
              <w:t>/</w:t>
            </w:r>
          </w:p>
        </w:tc>
        <w:tc>
          <w:tcPr>
            <w:tcW w:w="1559" w:type="dxa"/>
            <w:vAlign w:val="center"/>
          </w:tcPr>
          <w:p>
            <w:pPr>
              <w:jc w:val="center"/>
              <w:rPr>
                <w:kern w:val="0"/>
                <w:szCs w:val="21"/>
              </w:rPr>
            </w:pPr>
            <w:r>
              <w:rPr>
                <w:kern w:val="0"/>
                <w:szCs w:val="21"/>
              </w:rPr>
              <w:t>/</w:t>
            </w:r>
          </w:p>
        </w:tc>
        <w:tc>
          <w:tcPr>
            <w:tcW w:w="1761" w:type="dxa"/>
            <w:vAlign w:val="center"/>
          </w:tcPr>
          <w:p>
            <w:pPr>
              <w:jc w:val="center"/>
              <w:rPr>
                <w:kern w:val="0"/>
                <w:szCs w:val="21"/>
              </w:rPr>
            </w:pPr>
            <w:r>
              <w:rPr>
                <w:kern w:val="0"/>
                <w:szCs w:val="21"/>
              </w:rPr>
              <w:t>/</w:t>
            </w:r>
          </w:p>
        </w:tc>
        <w:tc>
          <w:tcPr>
            <w:tcW w:w="1603" w:type="dxa"/>
            <w:vAlign w:val="center"/>
          </w:tcPr>
          <w:p>
            <w:pPr>
              <w:jc w:val="center"/>
              <w:rPr>
                <w:kern w:val="0"/>
                <w:szCs w:val="21"/>
              </w:rPr>
            </w:pPr>
            <w:r>
              <w:rPr>
                <w:kern w:val="0"/>
                <w:szCs w:val="21"/>
              </w:rPr>
              <w:t>/</w:t>
            </w:r>
          </w:p>
        </w:tc>
        <w:tc>
          <w:tcPr>
            <w:tcW w:w="1182" w:type="dxa"/>
            <w:vAlign w:val="center"/>
          </w:tcPr>
          <w:p>
            <w:pPr>
              <w:jc w:val="center"/>
              <w:rPr>
                <w:kern w:val="0"/>
                <w:szCs w:val="21"/>
              </w:rPr>
            </w:pPr>
            <w:r>
              <w:rPr>
                <w:kern w:val="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04" w:type="dxa"/>
            <w:vMerge w:val="restart"/>
            <w:vAlign w:val="center"/>
          </w:tcPr>
          <w:p>
            <w:pPr>
              <w:jc w:val="center"/>
              <w:rPr>
                <w:kern w:val="0"/>
                <w:szCs w:val="21"/>
              </w:rPr>
            </w:pPr>
            <w:r>
              <w:rPr>
                <w:kern w:val="0"/>
                <w:szCs w:val="21"/>
              </w:rPr>
              <w:t>一般工业</w:t>
            </w:r>
          </w:p>
          <w:p>
            <w:pPr>
              <w:jc w:val="center"/>
              <w:rPr>
                <w:kern w:val="0"/>
                <w:szCs w:val="21"/>
              </w:rPr>
            </w:pPr>
            <w:r>
              <w:rPr>
                <w:kern w:val="0"/>
                <w:szCs w:val="21"/>
              </w:rPr>
              <w:t>固体废物</w:t>
            </w:r>
          </w:p>
        </w:tc>
        <w:tc>
          <w:tcPr>
            <w:tcW w:w="1701" w:type="dxa"/>
            <w:vAlign w:val="center"/>
          </w:tcPr>
          <w:p>
            <w:pPr>
              <w:jc w:val="center"/>
              <w:rPr>
                <w:kern w:val="0"/>
                <w:szCs w:val="21"/>
              </w:rPr>
            </w:pPr>
            <w:r>
              <w:rPr>
                <w:spacing w:val="5"/>
                <w:sz w:val="20"/>
                <w:szCs w:val="20"/>
              </w:rPr>
              <w:t>矸石</w:t>
            </w:r>
          </w:p>
        </w:tc>
        <w:tc>
          <w:tcPr>
            <w:tcW w:w="1701" w:type="dxa"/>
            <w:vAlign w:val="center"/>
          </w:tcPr>
          <w:p>
            <w:pPr>
              <w:jc w:val="center"/>
              <w:rPr>
                <w:szCs w:val="21"/>
              </w:rPr>
            </w:pPr>
            <w:r>
              <w:rPr>
                <w:kern w:val="0"/>
                <w:szCs w:val="21"/>
              </w:rPr>
              <w:t>/</w:t>
            </w:r>
          </w:p>
        </w:tc>
        <w:tc>
          <w:tcPr>
            <w:tcW w:w="1276" w:type="dxa"/>
            <w:vAlign w:val="center"/>
          </w:tcPr>
          <w:p>
            <w:pPr>
              <w:jc w:val="center"/>
              <w:rPr>
                <w:kern w:val="0"/>
                <w:szCs w:val="21"/>
              </w:rPr>
            </w:pPr>
            <w:r>
              <w:rPr>
                <w:kern w:val="0"/>
                <w:szCs w:val="21"/>
              </w:rPr>
              <w:t>/</w:t>
            </w:r>
          </w:p>
        </w:tc>
        <w:tc>
          <w:tcPr>
            <w:tcW w:w="1701" w:type="dxa"/>
            <w:vAlign w:val="center"/>
          </w:tcPr>
          <w:p>
            <w:pPr>
              <w:jc w:val="center"/>
              <w:rPr>
                <w:kern w:val="0"/>
                <w:szCs w:val="21"/>
              </w:rPr>
            </w:pPr>
            <w:r>
              <w:rPr>
                <w:kern w:val="0"/>
                <w:szCs w:val="21"/>
              </w:rPr>
              <w:t>/</w:t>
            </w:r>
          </w:p>
        </w:tc>
        <w:tc>
          <w:tcPr>
            <w:tcW w:w="1559" w:type="dxa"/>
            <w:vAlign w:val="center"/>
          </w:tcPr>
          <w:p>
            <w:pPr>
              <w:jc w:val="center"/>
              <w:rPr>
                <w:szCs w:val="21"/>
              </w:rPr>
            </w:pPr>
            <w:r>
              <w:rPr>
                <w:rFonts w:hint="eastAsia"/>
                <w:kern w:val="0"/>
                <w:szCs w:val="21"/>
              </w:rPr>
              <w:t>76000</w:t>
            </w:r>
          </w:p>
        </w:tc>
        <w:tc>
          <w:tcPr>
            <w:tcW w:w="1761" w:type="dxa"/>
            <w:vAlign w:val="center"/>
          </w:tcPr>
          <w:p>
            <w:pPr>
              <w:jc w:val="center"/>
              <w:rPr>
                <w:kern w:val="0"/>
                <w:szCs w:val="21"/>
              </w:rPr>
            </w:pPr>
            <w:r>
              <w:rPr>
                <w:kern w:val="0"/>
                <w:szCs w:val="21"/>
              </w:rPr>
              <w:t>/</w:t>
            </w:r>
          </w:p>
        </w:tc>
        <w:tc>
          <w:tcPr>
            <w:tcW w:w="1603" w:type="dxa"/>
            <w:vAlign w:val="center"/>
          </w:tcPr>
          <w:p>
            <w:pPr>
              <w:jc w:val="center"/>
              <w:rPr>
                <w:szCs w:val="21"/>
              </w:rPr>
            </w:pPr>
            <w:r>
              <w:rPr>
                <w:rFonts w:hint="eastAsia"/>
                <w:kern w:val="0"/>
                <w:szCs w:val="21"/>
              </w:rPr>
              <w:t>76000</w:t>
            </w:r>
          </w:p>
        </w:tc>
        <w:tc>
          <w:tcPr>
            <w:tcW w:w="1182" w:type="dxa"/>
            <w:vAlign w:val="center"/>
          </w:tcPr>
          <w:p>
            <w:pPr>
              <w:jc w:val="center"/>
              <w:rPr>
                <w:szCs w:val="21"/>
              </w:rPr>
            </w:pPr>
            <w:r>
              <w:rPr>
                <w:rFonts w:hint="eastAsia"/>
                <w:kern w:val="0"/>
                <w:szCs w:val="21"/>
              </w:rPr>
              <w:t>76000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04" w:type="dxa"/>
            <w:vMerge w:val="continue"/>
            <w:vAlign w:val="center"/>
          </w:tcPr>
          <w:p>
            <w:pPr>
              <w:jc w:val="center"/>
              <w:rPr>
                <w:kern w:val="0"/>
                <w:szCs w:val="21"/>
              </w:rPr>
            </w:pPr>
          </w:p>
        </w:tc>
        <w:tc>
          <w:tcPr>
            <w:tcW w:w="1701" w:type="dxa"/>
            <w:vAlign w:val="center"/>
          </w:tcPr>
          <w:p>
            <w:pPr>
              <w:jc w:val="center"/>
              <w:rPr>
                <w:spacing w:val="5"/>
                <w:sz w:val="20"/>
                <w:szCs w:val="20"/>
              </w:rPr>
            </w:pPr>
            <w:r>
              <w:rPr>
                <w:rFonts w:hint="eastAsia"/>
                <w:szCs w:val="21"/>
              </w:rPr>
              <w:t>沉淀池、雨水收集池沉渣</w:t>
            </w:r>
          </w:p>
        </w:tc>
        <w:tc>
          <w:tcPr>
            <w:tcW w:w="1701" w:type="dxa"/>
            <w:vAlign w:val="center"/>
          </w:tcPr>
          <w:p>
            <w:pPr>
              <w:jc w:val="center"/>
              <w:rPr>
                <w:kern w:val="0"/>
                <w:szCs w:val="21"/>
              </w:rPr>
            </w:pPr>
            <w:r>
              <w:rPr>
                <w:kern w:val="0"/>
                <w:szCs w:val="21"/>
              </w:rPr>
              <w:t>/</w:t>
            </w:r>
          </w:p>
        </w:tc>
        <w:tc>
          <w:tcPr>
            <w:tcW w:w="1276" w:type="dxa"/>
            <w:vAlign w:val="center"/>
          </w:tcPr>
          <w:p>
            <w:pPr>
              <w:jc w:val="center"/>
              <w:rPr>
                <w:kern w:val="0"/>
                <w:szCs w:val="21"/>
              </w:rPr>
            </w:pPr>
            <w:r>
              <w:rPr>
                <w:kern w:val="0"/>
                <w:szCs w:val="21"/>
              </w:rPr>
              <w:t>/</w:t>
            </w:r>
          </w:p>
        </w:tc>
        <w:tc>
          <w:tcPr>
            <w:tcW w:w="1701" w:type="dxa"/>
            <w:vAlign w:val="center"/>
          </w:tcPr>
          <w:p>
            <w:pPr>
              <w:jc w:val="center"/>
              <w:rPr>
                <w:kern w:val="0"/>
                <w:szCs w:val="21"/>
              </w:rPr>
            </w:pPr>
            <w:r>
              <w:rPr>
                <w:kern w:val="0"/>
                <w:szCs w:val="21"/>
              </w:rPr>
              <w:t>/</w:t>
            </w:r>
          </w:p>
        </w:tc>
        <w:tc>
          <w:tcPr>
            <w:tcW w:w="1559" w:type="dxa"/>
            <w:vAlign w:val="center"/>
          </w:tcPr>
          <w:p>
            <w:pPr>
              <w:jc w:val="center"/>
              <w:rPr>
                <w:kern w:val="0"/>
                <w:szCs w:val="21"/>
              </w:rPr>
            </w:pPr>
            <w:r>
              <w:rPr>
                <w:rFonts w:hint="eastAsia"/>
                <w:kern w:val="0"/>
                <w:szCs w:val="21"/>
              </w:rPr>
              <w:t>0.5</w:t>
            </w:r>
          </w:p>
        </w:tc>
        <w:tc>
          <w:tcPr>
            <w:tcW w:w="1761" w:type="dxa"/>
            <w:vAlign w:val="center"/>
          </w:tcPr>
          <w:p>
            <w:pPr>
              <w:jc w:val="center"/>
              <w:rPr>
                <w:kern w:val="0"/>
                <w:szCs w:val="21"/>
              </w:rPr>
            </w:pPr>
            <w:r>
              <w:rPr>
                <w:rFonts w:hint="eastAsia"/>
                <w:kern w:val="0"/>
                <w:szCs w:val="21"/>
              </w:rPr>
              <w:t>/</w:t>
            </w:r>
          </w:p>
        </w:tc>
        <w:tc>
          <w:tcPr>
            <w:tcW w:w="1603" w:type="dxa"/>
            <w:vAlign w:val="center"/>
          </w:tcPr>
          <w:p>
            <w:pPr>
              <w:jc w:val="center"/>
              <w:rPr>
                <w:kern w:val="0"/>
                <w:szCs w:val="21"/>
              </w:rPr>
            </w:pPr>
            <w:r>
              <w:rPr>
                <w:rFonts w:hint="eastAsia"/>
                <w:kern w:val="0"/>
                <w:szCs w:val="21"/>
              </w:rPr>
              <w:t>0.5</w:t>
            </w:r>
          </w:p>
        </w:tc>
        <w:tc>
          <w:tcPr>
            <w:tcW w:w="1182" w:type="dxa"/>
            <w:vAlign w:val="center"/>
          </w:tcPr>
          <w:p>
            <w:pPr>
              <w:jc w:val="center"/>
              <w:rPr>
                <w:kern w:val="0"/>
                <w:szCs w:val="21"/>
              </w:rPr>
            </w:pPr>
            <w:r>
              <w:rPr>
                <w:rFonts w:hint="eastAsia"/>
                <w:kern w:val="0"/>
                <w:szCs w:val="21"/>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04" w:type="dxa"/>
            <w:vMerge w:val="restart"/>
            <w:vAlign w:val="center"/>
          </w:tcPr>
          <w:p>
            <w:pPr>
              <w:jc w:val="center"/>
              <w:rPr>
                <w:kern w:val="0"/>
                <w:szCs w:val="21"/>
              </w:rPr>
            </w:pPr>
            <w:r>
              <w:rPr>
                <w:kern w:val="0"/>
                <w:szCs w:val="21"/>
              </w:rPr>
              <w:t>危险废物</w:t>
            </w:r>
          </w:p>
        </w:tc>
        <w:tc>
          <w:tcPr>
            <w:tcW w:w="1701" w:type="dxa"/>
            <w:vAlign w:val="center"/>
          </w:tcPr>
          <w:p>
            <w:pPr>
              <w:jc w:val="center"/>
              <w:rPr>
                <w:kern w:val="0"/>
                <w:szCs w:val="21"/>
              </w:rPr>
            </w:pPr>
            <w:r>
              <w:rPr>
                <w:rFonts w:hint="eastAsia"/>
                <w:kern w:val="0"/>
                <w:szCs w:val="21"/>
              </w:rPr>
              <w:t>废矿物油</w:t>
            </w:r>
          </w:p>
        </w:tc>
        <w:tc>
          <w:tcPr>
            <w:tcW w:w="1701" w:type="dxa"/>
            <w:vAlign w:val="center"/>
          </w:tcPr>
          <w:p>
            <w:pPr>
              <w:jc w:val="center"/>
              <w:rPr>
                <w:szCs w:val="21"/>
              </w:rPr>
            </w:pPr>
            <w:r>
              <w:rPr>
                <w:kern w:val="0"/>
                <w:szCs w:val="21"/>
              </w:rPr>
              <w:t>/</w:t>
            </w:r>
          </w:p>
        </w:tc>
        <w:tc>
          <w:tcPr>
            <w:tcW w:w="1276" w:type="dxa"/>
            <w:vAlign w:val="center"/>
          </w:tcPr>
          <w:p>
            <w:pPr>
              <w:jc w:val="center"/>
              <w:rPr>
                <w:szCs w:val="21"/>
              </w:rPr>
            </w:pPr>
            <w:r>
              <w:rPr>
                <w:kern w:val="0"/>
                <w:szCs w:val="21"/>
              </w:rPr>
              <w:t>/</w:t>
            </w:r>
          </w:p>
        </w:tc>
        <w:tc>
          <w:tcPr>
            <w:tcW w:w="1701" w:type="dxa"/>
            <w:vAlign w:val="center"/>
          </w:tcPr>
          <w:p>
            <w:pPr>
              <w:jc w:val="center"/>
              <w:rPr>
                <w:szCs w:val="21"/>
              </w:rPr>
            </w:pPr>
            <w:r>
              <w:rPr>
                <w:kern w:val="0"/>
                <w:szCs w:val="21"/>
              </w:rPr>
              <w:t>/</w:t>
            </w:r>
          </w:p>
        </w:tc>
        <w:tc>
          <w:tcPr>
            <w:tcW w:w="1559" w:type="dxa"/>
            <w:vAlign w:val="center"/>
          </w:tcPr>
          <w:p>
            <w:pPr>
              <w:widowControl/>
              <w:jc w:val="center"/>
              <w:textAlignment w:val="center"/>
              <w:rPr>
                <w:szCs w:val="21"/>
              </w:rPr>
            </w:pPr>
            <w:r>
              <w:rPr>
                <w:rFonts w:hint="eastAsia"/>
                <w:szCs w:val="21"/>
              </w:rPr>
              <w:t>0.01</w:t>
            </w:r>
          </w:p>
        </w:tc>
        <w:tc>
          <w:tcPr>
            <w:tcW w:w="1761" w:type="dxa"/>
            <w:vAlign w:val="center"/>
          </w:tcPr>
          <w:p>
            <w:pPr>
              <w:widowControl/>
              <w:jc w:val="center"/>
              <w:textAlignment w:val="center"/>
              <w:rPr>
                <w:szCs w:val="21"/>
              </w:rPr>
            </w:pPr>
            <w:r>
              <w:rPr>
                <w:szCs w:val="21"/>
              </w:rPr>
              <w:t>/</w:t>
            </w:r>
          </w:p>
        </w:tc>
        <w:tc>
          <w:tcPr>
            <w:tcW w:w="1603" w:type="dxa"/>
            <w:vAlign w:val="center"/>
          </w:tcPr>
          <w:p>
            <w:pPr>
              <w:widowControl/>
              <w:jc w:val="center"/>
              <w:textAlignment w:val="center"/>
              <w:rPr>
                <w:szCs w:val="21"/>
              </w:rPr>
            </w:pPr>
            <w:r>
              <w:rPr>
                <w:rFonts w:hint="eastAsia"/>
                <w:szCs w:val="21"/>
              </w:rPr>
              <w:t>0.01</w:t>
            </w:r>
          </w:p>
        </w:tc>
        <w:tc>
          <w:tcPr>
            <w:tcW w:w="1182" w:type="dxa"/>
            <w:vAlign w:val="center"/>
          </w:tcPr>
          <w:p>
            <w:pPr>
              <w:widowControl/>
              <w:jc w:val="center"/>
              <w:textAlignment w:val="center"/>
              <w:rPr>
                <w:szCs w:val="21"/>
              </w:rPr>
            </w:pPr>
            <w:r>
              <w:rPr>
                <w:rFonts w:hint="eastAsia"/>
                <w:szCs w:val="21"/>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304" w:type="dxa"/>
            <w:vMerge w:val="continue"/>
            <w:vAlign w:val="center"/>
          </w:tcPr>
          <w:p>
            <w:pPr>
              <w:jc w:val="center"/>
              <w:rPr>
                <w:kern w:val="0"/>
                <w:szCs w:val="21"/>
              </w:rPr>
            </w:pPr>
          </w:p>
        </w:tc>
        <w:tc>
          <w:tcPr>
            <w:tcW w:w="1701" w:type="dxa"/>
            <w:vAlign w:val="center"/>
          </w:tcPr>
          <w:p>
            <w:pPr>
              <w:jc w:val="center"/>
              <w:rPr>
                <w:kern w:val="0"/>
                <w:szCs w:val="21"/>
              </w:rPr>
            </w:pPr>
            <w:r>
              <w:rPr>
                <w:rFonts w:hint="eastAsia"/>
                <w:kern w:val="0"/>
                <w:szCs w:val="21"/>
              </w:rPr>
              <w:t>废弃含油抹布及劳保用品</w:t>
            </w:r>
          </w:p>
        </w:tc>
        <w:tc>
          <w:tcPr>
            <w:tcW w:w="1701" w:type="dxa"/>
            <w:vAlign w:val="center"/>
          </w:tcPr>
          <w:p>
            <w:pPr>
              <w:jc w:val="center"/>
              <w:rPr>
                <w:kern w:val="0"/>
                <w:szCs w:val="21"/>
              </w:rPr>
            </w:pPr>
            <w:r>
              <w:rPr>
                <w:kern w:val="0"/>
                <w:szCs w:val="21"/>
              </w:rPr>
              <w:t>/</w:t>
            </w:r>
          </w:p>
        </w:tc>
        <w:tc>
          <w:tcPr>
            <w:tcW w:w="1276" w:type="dxa"/>
            <w:vAlign w:val="center"/>
          </w:tcPr>
          <w:p>
            <w:pPr>
              <w:jc w:val="center"/>
              <w:rPr>
                <w:kern w:val="0"/>
                <w:szCs w:val="21"/>
              </w:rPr>
            </w:pPr>
            <w:r>
              <w:rPr>
                <w:kern w:val="0"/>
                <w:szCs w:val="21"/>
              </w:rPr>
              <w:t>/</w:t>
            </w:r>
          </w:p>
        </w:tc>
        <w:tc>
          <w:tcPr>
            <w:tcW w:w="1701" w:type="dxa"/>
            <w:vAlign w:val="center"/>
          </w:tcPr>
          <w:p>
            <w:pPr>
              <w:jc w:val="center"/>
              <w:rPr>
                <w:kern w:val="0"/>
                <w:szCs w:val="21"/>
              </w:rPr>
            </w:pPr>
            <w:r>
              <w:rPr>
                <w:kern w:val="0"/>
                <w:szCs w:val="21"/>
              </w:rPr>
              <w:t>/</w:t>
            </w:r>
          </w:p>
        </w:tc>
        <w:tc>
          <w:tcPr>
            <w:tcW w:w="1559" w:type="dxa"/>
            <w:vAlign w:val="center"/>
          </w:tcPr>
          <w:p>
            <w:pPr>
              <w:widowControl/>
              <w:jc w:val="center"/>
              <w:textAlignment w:val="center"/>
              <w:rPr>
                <w:szCs w:val="21"/>
              </w:rPr>
            </w:pPr>
            <w:r>
              <w:rPr>
                <w:rFonts w:hint="eastAsia"/>
                <w:szCs w:val="21"/>
              </w:rPr>
              <w:t>0.01</w:t>
            </w:r>
          </w:p>
        </w:tc>
        <w:tc>
          <w:tcPr>
            <w:tcW w:w="1761" w:type="dxa"/>
            <w:vAlign w:val="center"/>
          </w:tcPr>
          <w:p>
            <w:pPr>
              <w:widowControl/>
              <w:jc w:val="center"/>
              <w:textAlignment w:val="center"/>
              <w:rPr>
                <w:szCs w:val="21"/>
              </w:rPr>
            </w:pPr>
            <w:r>
              <w:rPr>
                <w:szCs w:val="21"/>
              </w:rPr>
              <w:t>/</w:t>
            </w:r>
          </w:p>
        </w:tc>
        <w:tc>
          <w:tcPr>
            <w:tcW w:w="1603" w:type="dxa"/>
            <w:vAlign w:val="center"/>
          </w:tcPr>
          <w:p>
            <w:pPr>
              <w:widowControl/>
              <w:jc w:val="center"/>
              <w:textAlignment w:val="center"/>
              <w:rPr>
                <w:szCs w:val="21"/>
              </w:rPr>
            </w:pPr>
            <w:r>
              <w:rPr>
                <w:rFonts w:hint="eastAsia"/>
                <w:szCs w:val="21"/>
              </w:rPr>
              <w:t>0.01</w:t>
            </w:r>
          </w:p>
        </w:tc>
        <w:tc>
          <w:tcPr>
            <w:tcW w:w="1182" w:type="dxa"/>
            <w:vAlign w:val="center"/>
          </w:tcPr>
          <w:p>
            <w:pPr>
              <w:widowControl/>
              <w:jc w:val="center"/>
              <w:textAlignment w:val="center"/>
              <w:rPr>
                <w:szCs w:val="21"/>
              </w:rPr>
            </w:pPr>
            <w:r>
              <w:rPr>
                <w:rFonts w:hint="eastAsia"/>
                <w:szCs w:val="21"/>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005" w:type="dxa"/>
            <w:gridSpan w:val="2"/>
            <w:vAlign w:val="center"/>
          </w:tcPr>
          <w:p>
            <w:pPr>
              <w:jc w:val="center"/>
              <w:rPr>
                <w:kern w:val="0"/>
                <w:szCs w:val="21"/>
              </w:rPr>
            </w:pPr>
            <w:r>
              <w:rPr>
                <w:kern w:val="0"/>
                <w:szCs w:val="21"/>
              </w:rPr>
              <w:t>生活垃圾</w:t>
            </w:r>
          </w:p>
        </w:tc>
        <w:tc>
          <w:tcPr>
            <w:tcW w:w="1701" w:type="dxa"/>
            <w:vAlign w:val="center"/>
          </w:tcPr>
          <w:p>
            <w:pPr>
              <w:jc w:val="center"/>
              <w:rPr>
                <w:kern w:val="0"/>
                <w:szCs w:val="21"/>
              </w:rPr>
            </w:pPr>
            <w:r>
              <w:rPr>
                <w:kern w:val="0"/>
                <w:szCs w:val="21"/>
              </w:rPr>
              <w:t>/</w:t>
            </w:r>
          </w:p>
        </w:tc>
        <w:tc>
          <w:tcPr>
            <w:tcW w:w="1276" w:type="dxa"/>
            <w:vAlign w:val="center"/>
          </w:tcPr>
          <w:p>
            <w:pPr>
              <w:jc w:val="center"/>
              <w:rPr>
                <w:kern w:val="0"/>
                <w:szCs w:val="21"/>
              </w:rPr>
            </w:pPr>
            <w:r>
              <w:rPr>
                <w:kern w:val="0"/>
                <w:szCs w:val="21"/>
              </w:rPr>
              <w:t>/</w:t>
            </w:r>
          </w:p>
        </w:tc>
        <w:tc>
          <w:tcPr>
            <w:tcW w:w="1701" w:type="dxa"/>
            <w:vAlign w:val="center"/>
          </w:tcPr>
          <w:p>
            <w:pPr>
              <w:jc w:val="center"/>
              <w:rPr>
                <w:kern w:val="0"/>
                <w:szCs w:val="21"/>
              </w:rPr>
            </w:pPr>
            <w:r>
              <w:rPr>
                <w:kern w:val="0"/>
                <w:szCs w:val="21"/>
              </w:rPr>
              <w:t>/</w:t>
            </w:r>
          </w:p>
        </w:tc>
        <w:tc>
          <w:tcPr>
            <w:tcW w:w="1559" w:type="dxa"/>
            <w:vAlign w:val="center"/>
          </w:tcPr>
          <w:p>
            <w:pPr>
              <w:jc w:val="center"/>
              <w:rPr>
                <w:kern w:val="0"/>
                <w:szCs w:val="21"/>
              </w:rPr>
            </w:pPr>
            <w:r>
              <w:rPr>
                <w:rFonts w:hint="eastAsia"/>
                <w:kern w:val="0"/>
                <w:szCs w:val="21"/>
              </w:rPr>
              <w:t>0.4</w:t>
            </w:r>
          </w:p>
        </w:tc>
        <w:tc>
          <w:tcPr>
            <w:tcW w:w="1761" w:type="dxa"/>
            <w:vAlign w:val="center"/>
          </w:tcPr>
          <w:p>
            <w:pPr>
              <w:jc w:val="center"/>
              <w:rPr>
                <w:kern w:val="0"/>
                <w:szCs w:val="21"/>
              </w:rPr>
            </w:pPr>
            <w:r>
              <w:rPr>
                <w:kern w:val="0"/>
                <w:szCs w:val="21"/>
              </w:rPr>
              <w:t>/</w:t>
            </w:r>
          </w:p>
        </w:tc>
        <w:tc>
          <w:tcPr>
            <w:tcW w:w="1603" w:type="dxa"/>
            <w:vAlign w:val="center"/>
          </w:tcPr>
          <w:p>
            <w:pPr>
              <w:jc w:val="center"/>
              <w:rPr>
                <w:kern w:val="0"/>
                <w:szCs w:val="21"/>
              </w:rPr>
            </w:pPr>
            <w:r>
              <w:rPr>
                <w:rFonts w:hint="eastAsia"/>
                <w:kern w:val="0"/>
                <w:szCs w:val="21"/>
              </w:rPr>
              <w:t>0.4</w:t>
            </w:r>
          </w:p>
        </w:tc>
        <w:tc>
          <w:tcPr>
            <w:tcW w:w="1182" w:type="dxa"/>
            <w:vAlign w:val="center"/>
          </w:tcPr>
          <w:p>
            <w:pPr>
              <w:jc w:val="center"/>
              <w:rPr>
                <w:kern w:val="0"/>
                <w:szCs w:val="21"/>
              </w:rPr>
            </w:pPr>
            <w:r>
              <w:rPr>
                <w:rFonts w:hint="eastAsia"/>
                <w:kern w:val="0"/>
                <w:szCs w:val="21"/>
              </w:rPr>
              <w:t>0.4</w:t>
            </w:r>
          </w:p>
        </w:tc>
      </w:tr>
    </w:tbl>
    <w:p>
      <w:pPr>
        <w:pStyle w:val="36"/>
        <w:spacing w:beforeLines="0" w:afterLines="0" w:line="240" w:lineRule="auto"/>
        <w:ind w:firstLine="420"/>
        <w:jc w:val="left"/>
        <w:rPr>
          <w:rFonts w:ascii="Times New Roman"/>
          <w:sz w:val="24"/>
          <w:szCs w:val="22"/>
        </w:rPr>
        <w:sectPr>
          <w:footerReference r:id="rId7" w:type="default"/>
          <w:pgSz w:w="16838" w:h="11906" w:orient="landscape"/>
          <w:pgMar w:top="1701" w:right="1531" w:bottom="1701" w:left="1531" w:header="851" w:footer="851" w:gutter="0"/>
          <w:cols w:space="720" w:num="1"/>
          <w:docGrid w:linePitch="312" w:charSpace="0"/>
        </w:sectPr>
      </w:pPr>
      <w:r>
        <w:rPr>
          <w:rFonts w:ascii="Times New Roman"/>
          <w:snapToGrid w:val="0"/>
          <w:kern w:val="21"/>
          <w:sz w:val="24"/>
          <w:szCs w:val="24"/>
        </w:rPr>
        <w:t>注：</w:t>
      </w:r>
      <w:r>
        <w:rPr>
          <w:rFonts w:ascii="Times New Roman"/>
          <w:snapToGrid w:val="0"/>
          <w:spacing w:val="-16"/>
          <w:kern w:val="21"/>
          <w:sz w:val="24"/>
          <w:szCs w:val="24"/>
        </w:rPr>
        <w:fldChar w:fldCharType="begin"/>
      </w:r>
      <w:r>
        <w:rPr>
          <w:rFonts w:ascii="Times New Roman"/>
          <w:snapToGrid w:val="0"/>
          <w:spacing w:val="-16"/>
          <w:kern w:val="21"/>
          <w:sz w:val="24"/>
          <w:szCs w:val="24"/>
        </w:rPr>
        <w:instrText xml:space="preserve"> = 6 \* GB3 \* MERGEFORMAT </w:instrText>
      </w:r>
      <w:r>
        <w:rPr>
          <w:rFonts w:ascii="Times New Roman"/>
          <w:snapToGrid w:val="0"/>
          <w:spacing w:val="-16"/>
          <w:kern w:val="21"/>
          <w:sz w:val="24"/>
          <w:szCs w:val="24"/>
        </w:rPr>
        <w:fldChar w:fldCharType="separate"/>
      </w:r>
      <w:r>
        <w:rPr>
          <w:rFonts w:hint="eastAsia" w:hAnsi="宋体" w:cs="宋体"/>
          <w:sz w:val="24"/>
          <w:szCs w:val="24"/>
        </w:rPr>
        <w:t>⑥</w:t>
      </w:r>
      <w:r>
        <w:rPr>
          <w:rFonts w:ascii="Times New Roman"/>
          <w:snapToGrid w:val="0"/>
          <w:spacing w:val="-16"/>
          <w:kern w:val="21"/>
          <w:sz w:val="24"/>
          <w:szCs w:val="24"/>
        </w:rPr>
        <w:fldChar w:fldCharType="end"/>
      </w:r>
      <w:r>
        <w:rPr>
          <w:rFonts w:ascii="Times New Roman"/>
          <w:snapToGrid w:val="0"/>
          <w:spacing w:val="-16"/>
          <w:kern w:val="21"/>
          <w:sz w:val="24"/>
          <w:szCs w:val="24"/>
        </w:rPr>
        <w:t>=</w:t>
      </w:r>
      <w:r>
        <w:rPr>
          <w:rFonts w:ascii="Times New Roman"/>
          <w:snapToGrid w:val="0"/>
          <w:spacing w:val="-6"/>
          <w:kern w:val="21"/>
          <w:sz w:val="24"/>
          <w:szCs w:val="24"/>
        </w:rPr>
        <w:fldChar w:fldCharType="begin"/>
      </w:r>
      <w:r>
        <w:rPr>
          <w:rFonts w:ascii="Times New Roman"/>
          <w:snapToGrid w:val="0"/>
          <w:spacing w:val="-6"/>
          <w:kern w:val="21"/>
          <w:sz w:val="24"/>
          <w:szCs w:val="24"/>
        </w:rPr>
        <w:instrText xml:space="preserve"> = 1 \* GB3 \* MERGEFORMAT </w:instrText>
      </w:r>
      <w:r>
        <w:rPr>
          <w:rFonts w:ascii="Times New Roman"/>
          <w:snapToGrid w:val="0"/>
          <w:spacing w:val="-6"/>
          <w:kern w:val="21"/>
          <w:sz w:val="24"/>
          <w:szCs w:val="24"/>
        </w:rPr>
        <w:fldChar w:fldCharType="separate"/>
      </w:r>
      <w:r>
        <w:rPr>
          <w:rFonts w:hint="eastAsia" w:hAnsi="宋体" w:cs="宋体"/>
          <w:sz w:val="24"/>
          <w:szCs w:val="24"/>
        </w:rPr>
        <w:t>①</w:t>
      </w:r>
      <w:r>
        <w:rPr>
          <w:rFonts w:ascii="Times New Roman"/>
          <w:snapToGrid w:val="0"/>
          <w:spacing w:val="-6"/>
          <w:kern w:val="21"/>
          <w:sz w:val="24"/>
          <w:szCs w:val="24"/>
        </w:rPr>
        <w:fldChar w:fldCharType="end"/>
      </w:r>
      <w:r>
        <w:rPr>
          <w:rFonts w:ascii="Times New Roman"/>
          <w:snapToGrid w:val="0"/>
          <w:spacing w:val="-6"/>
          <w:kern w:val="21"/>
          <w:sz w:val="24"/>
          <w:szCs w:val="24"/>
        </w:rPr>
        <w:t>+</w:t>
      </w:r>
      <w:r>
        <w:rPr>
          <w:rFonts w:ascii="Times New Roman"/>
          <w:snapToGrid w:val="0"/>
          <w:spacing w:val="-6"/>
          <w:kern w:val="21"/>
          <w:sz w:val="24"/>
          <w:szCs w:val="24"/>
        </w:rPr>
        <w:fldChar w:fldCharType="begin"/>
      </w:r>
      <w:r>
        <w:rPr>
          <w:rFonts w:ascii="Times New Roman"/>
          <w:snapToGrid w:val="0"/>
          <w:spacing w:val="-6"/>
          <w:kern w:val="21"/>
          <w:sz w:val="24"/>
          <w:szCs w:val="24"/>
        </w:rPr>
        <w:instrText xml:space="preserve"> = 3 \* GB3 \* MERGEFORMAT </w:instrText>
      </w:r>
      <w:r>
        <w:rPr>
          <w:rFonts w:ascii="Times New Roman"/>
          <w:snapToGrid w:val="0"/>
          <w:spacing w:val="-6"/>
          <w:kern w:val="21"/>
          <w:sz w:val="24"/>
          <w:szCs w:val="24"/>
        </w:rPr>
        <w:fldChar w:fldCharType="separate"/>
      </w:r>
      <w:r>
        <w:rPr>
          <w:rFonts w:hint="eastAsia" w:hAnsi="宋体" w:cs="宋体"/>
          <w:sz w:val="24"/>
          <w:szCs w:val="24"/>
        </w:rPr>
        <w:t>③</w:t>
      </w:r>
      <w:r>
        <w:rPr>
          <w:rFonts w:ascii="Times New Roman"/>
          <w:snapToGrid w:val="0"/>
          <w:spacing w:val="-6"/>
          <w:kern w:val="21"/>
          <w:sz w:val="24"/>
          <w:szCs w:val="24"/>
        </w:rPr>
        <w:fldChar w:fldCharType="end"/>
      </w:r>
      <w:r>
        <w:rPr>
          <w:rFonts w:ascii="Times New Roman"/>
          <w:snapToGrid w:val="0"/>
          <w:spacing w:val="-6"/>
          <w:kern w:val="21"/>
          <w:sz w:val="24"/>
          <w:szCs w:val="24"/>
        </w:rPr>
        <w:t>+</w:t>
      </w:r>
      <w:r>
        <w:rPr>
          <w:rFonts w:ascii="Times New Roman"/>
          <w:snapToGrid w:val="0"/>
          <w:spacing w:val="-6"/>
          <w:kern w:val="21"/>
          <w:sz w:val="24"/>
          <w:szCs w:val="24"/>
        </w:rPr>
        <w:fldChar w:fldCharType="begin"/>
      </w:r>
      <w:r>
        <w:rPr>
          <w:rFonts w:ascii="Times New Roman"/>
          <w:snapToGrid w:val="0"/>
          <w:spacing w:val="-6"/>
          <w:kern w:val="21"/>
          <w:sz w:val="24"/>
          <w:szCs w:val="24"/>
        </w:rPr>
        <w:instrText xml:space="preserve"> = 4 \* GB3 \* MERGEFORMAT </w:instrText>
      </w:r>
      <w:r>
        <w:rPr>
          <w:rFonts w:ascii="Times New Roman"/>
          <w:snapToGrid w:val="0"/>
          <w:spacing w:val="-6"/>
          <w:kern w:val="21"/>
          <w:sz w:val="24"/>
          <w:szCs w:val="24"/>
        </w:rPr>
        <w:fldChar w:fldCharType="separate"/>
      </w:r>
      <w:r>
        <w:rPr>
          <w:rFonts w:hint="eastAsia" w:hAnsi="宋体" w:cs="宋体"/>
          <w:sz w:val="24"/>
          <w:szCs w:val="24"/>
        </w:rPr>
        <w:t>④</w:t>
      </w:r>
      <w:r>
        <w:rPr>
          <w:rFonts w:ascii="Times New Roman"/>
          <w:snapToGrid w:val="0"/>
          <w:spacing w:val="-6"/>
          <w:kern w:val="21"/>
          <w:sz w:val="24"/>
          <w:szCs w:val="24"/>
        </w:rPr>
        <w:fldChar w:fldCharType="end"/>
      </w:r>
      <w:r>
        <w:rPr>
          <w:rFonts w:ascii="Times New Roman"/>
          <w:snapToGrid w:val="0"/>
          <w:spacing w:val="-6"/>
          <w:kern w:val="21"/>
          <w:sz w:val="24"/>
          <w:szCs w:val="24"/>
        </w:rPr>
        <w:t>-</w:t>
      </w:r>
      <w:r>
        <w:rPr>
          <w:rFonts w:ascii="Times New Roman"/>
          <w:snapToGrid w:val="0"/>
          <w:spacing w:val="-16"/>
          <w:kern w:val="21"/>
          <w:sz w:val="24"/>
          <w:szCs w:val="24"/>
        </w:rPr>
        <w:fldChar w:fldCharType="begin"/>
      </w:r>
      <w:r>
        <w:rPr>
          <w:rFonts w:ascii="Times New Roman"/>
          <w:snapToGrid w:val="0"/>
          <w:spacing w:val="-16"/>
          <w:kern w:val="21"/>
          <w:sz w:val="24"/>
          <w:szCs w:val="24"/>
        </w:rPr>
        <w:instrText xml:space="preserve"> = 5 \* GB3 \* MERGEFORMAT </w:instrText>
      </w:r>
      <w:r>
        <w:rPr>
          <w:rFonts w:ascii="Times New Roman"/>
          <w:snapToGrid w:val="0"/>
          <w:spacing w:val="-16"/>
          <w:kern w:val="21"/>
          <w:sz w:val="24"/>
          <w:szCs w:val="24"/>
        </w:rPr>
        <w:fldChar w:fldCharType="separate"/>
      </w:r>
      <w:r>
        <w:rPr>
          <w:rFonts w:hint="eastAsia" w:hAnsi="宋体" w:cs="宋体"/>
          <w:sz w:val="24"/>
          <w:szCs w:val="24"/>
        </w:rPr>
        <w:t>⑤</w:t>
      </w:r>
      <w:r>
        <w:rPr>
          <w:rFonts w:ascii="Times New Roman"/>
          <w:snapToGrid w:val="0"/>
          <w:spacing w:val="-16"/>
          <w:kern w:val="21"/>
          <w:sz w:val="24"/>
          <w:szCs w:val="24"/>
        </w:rPr>
        <w:fldChar w:fldCharType="end"/>
      </w:r>
      <w:r>
        <w:rPr>
          <w:rFonts w:ascii="Times New Roman"/>
          <w:snapToGrid w:val="0"/>
          <w:spacing w:val="-16"/>
          <w:kern w:val="21"/>
          <w:sz w:val="24"/>
          <w:szCs w:val="24"/>
        </w:rPr>
        <w:t>；</w:t>
      </w:r>
      <w:r>
        <w:rPr>
          <w:rFonts w:ascii="Times New Roman"/>
          <w:snapToGrid w:val="0"/>
          <w:spacing w:val="-6"/>
          <w:kern w:val="21"/>
          <w:sz w:val="24"/>
          <w:szCs w:val="24"/>
        </w:rPr>
        <w:fldChar w:fldCharType="begin"/>
      </w:r>
      <w:r>
        <w:rPr>
          <w:rFonts w:ascii="Times New Roman"/>
          <w:snapToGrid w:val="0"/>
          <w:spacing w:val="-6"/>
          <w:kern w:val="21"/>
          <w:sz w:val="24"/>
          <w:szCs w:val="24"/>
        </w:rPr>
        <w:instrText xml:space="preserve"> = 7 \* GB3 \* MERGEFORMAT </w:instrText>
      </w:r>
      <w:r>
        <w:rPr>
          <w:rFonts w:ascii="Times New Roman"/>
          <w:snapToGrid w:val="0"/>
          <w:spacing w:val="-6"/>
          <w:kern w:val="21"/>
          <w:sz w:val="24"/>
          <w:szCs w:val="24"/>
        </w:rPr>
        <w:fldChar w:fldCharType="separate"/>
      </w:r>
      <w:r>
        <w:rPr>
          <w:rFonts w:hint="eastAsia" w:hAnsi="宋体" w:cs="宋体"/>
          <w:sz w:val="24"/>
          <w:szCs w:val="24"/>
        </w:rPr>
        <w:t>⑦</w:t>
      </w:r>
      <w:r>
        <w:rPr>
          <w:rFonts w:ascii="Times New Roman"/>
          <w:snapToGrid w:val="0"/>
          <w:spacing w:val="-6"/>
          <w:kern w:val="21"/>
          <w:sz w:val="24"/>
          <w:szCs w:val="24"/>
        </w:rPr>
        <w:fldChar w:fldCharType="end"/>
      </w:r>
      <w:r>
        <w:rPr>
          <w:rFonts w:ascii="Times New Roman"/>
          <w:snapToGrid w:val="0"/>
          <w:spacing w:val="-6"/>
          <w:kern w:val="21"/>
          <w:sz w:val="24"/>
          <w:szCs w:val="24"/>
        </w:rPr>
        <w:t>=</w:t>
      </w:r>
      <w:r>
        <w:rPr>
          <w:rFonts w:ascii="Times New Roman"/>
          <w:snapToGrid w:val="0"/>
          <w:spacing w:val="-16"/>
          <w:kern w:val="21"/>
          <w:sz w:val="24"/>
          <w:szCs w:val="24"/>
        </w:rPr>
        <w:fldChar w:fldCharType="begin"/>
      </w:r>
      <w:r>
        <w:rPr>
          <w:rFonts w:ascii="Times New Roman"/>
          <w:snapToGrid w:val="0"/>
          <w:spacing w:val="-16"/>
          <w:kern w:val="21"/>
          <w:sz w:val="24"/>
          <w:szCs w:val="24"/>
        </w:rPr>
        <w:instrText xml:space="preserve"> = 6 \* GB3 \* MERGEFORMAT </w:instrText>
      </w:r>
      <w:r>
        <w:rPr>
          <w:rFonts w:ascii="Times New Roman"/>
          <w:snapToGrid w:val="0"/>
          <w:spacing w:val="-16"/>
          <w:kern w:val="21"/>
          <w:sz w:val="24"/>
          <w:szCs w:val="24"/>
        </w:rPr>
        <w:fldChar w:fldCharType="separate"/>
      </w:r>
      <w:r>
        <w:rPr>
          <w:rFonts w:hint="eastAsia" w:hAnsi="宋体" w:cs="宋体"/>
          <w:sz w:val="24"/>
          <w:szCs w:val="24"/>
        </w:rPr>
        <w:t>⑥</w:t>
      </w:r>
      <w:r>
        <w:rPr>
          <w:rFonts w:ascii="Times New Roman"/>
          <w:snapToGrid w:val="0"/>
          <w:spacing w:val="-16"/>
          <w:kern w:val="21"/>
          <w:sz w:val="24"/>
          <w:szCs w:val="24"/>
        </w:rPr>
        <w:fldChar w:fldCharType="end"/>
      </w:r>
      <w:r>
        <w:rPr>
          <w:rFonts w:ascii="Times New Roman"/>
          <w:snapToGrid w:val="0"/>
          <w:spacing w:val="-16"/>
          <w:kern w:val="21"/>
          <w:sz w:val="24"/>
          <w:szCs w:val="24"/>
        </w:rPr>
        <w:t>-</w:t>
      </w:r>
      <w:r>
        <w:rPr>
          <w:rFonts w:ascii="Times New Roman"/>
          <w:snapToGrid w:val="0"/>
          <w:spacing w:val="-6"/>
          <w:kern w:val="21"/>
          <w:sz w:val="24"/>
          <w:szCs w:val="24"/>
        </w:rPr>
        <w:fldChar w:fldCharType="begin"/>
      </w:r>
      <w:r>
        <w:rPr>
          <w:rFonts w:ascii="Times New Roman"/>
          <w:snapToGrid w:val="0"/>
          <w:spacing w:val="-6"/>
          <w:kern w:val="21"/>
          <w:sz w:val="24"/>
          <w:szCs w:val="24"/>
        </w:rPr>
        <w:instrText xml:space="preserve"> = 1 \* GB3 \* MERGEFORMAT </w:instrText>
      </w:r>
      <w:r>
        <w:rPr>
          <w:rFonts w:ascii="Times New Roman"/>
          <w:snapToGrid w:val="0"/>
          <w:spacing w:val="-6"/>
          <w:kern w:val="21"/>
          <w:sz w:val="24"/>
          <w:szCs w:val="24"/>
        </w:rPr>
        <w:fldChar w:fldCharType="separate"/>
      </w:r>
      <w:r>
        <w:rPr>
          <w:rFonts w:hint="eastAsia" w:hAnsi="宋体" w:cs="宋体"/>
          <w:sz w:val="24"/>
          <w:szCs w:val="24"/>
        </w:rPr>
        <w:t>①</w:t>
      </w:r>
      <w:r>
        <w:rPr>
          <w:rFonts w:ascii="Times New Roman"/>
          <w:snapToGrid w:val="0"/>
          <w:spacing w:val="-6"/>
          <w:kern w:val="21"/>
          <w:sz w:val="24"/>
          <w:szCs w:val="24"/>
        </w:rPr>
        <w:fldChar w:fldCharType="end"/>
      </w:r>
      <w:r>
        <w:rPr>
          <w:rFonts w:hint="eastAsia" w:ascii="Times New Roman"/>
          <w:sz w:val="24"/>
          <w:szCs w:val="22"/>
        </w:rPr>
        <w:t xml:space="preserve">  </w:t>
      </w:r>
      <w:r>
        <w:rPr>
          <w:rFonts w:hint="eastAsia" w:ascii="Times New Roman"/>
          <w:snapToGrid w:val="0"/>
          <w:kern w:val="21"/>
          <w:sz w:val="24"/>
          <w:szCs w:val="24"/>
        </w:rPr>
        <w:t>单位：t/a</w:t>
      </w:r>
    </w:p>
    <w:p>
      <w:pPr>
        <w:pStyle w:val="15"/>
        <w:adjustRightInd w:val="0"/>
        <w:snapToGrid w:val="0"/>
        <w:spacing w:before="0" w:beforeAutospacing="0" w:after="0" w:afterAutospacing="0"/>
        <w:outlineLvl w:val="0"/>
        <w:rPr>
          <w:rFonts w:ascii="Times New Roman" w:hAnsi="Times New Roman"/>
          <w:snapToGrid w:val="0"/>
          <w:sz w:val="30"/>
          <w:szCs w:val="30"/>
        </w:rPr>
      </w:pPr>
      <w:bookmarkStart w:id="29" w:name="_Toc210915808"/>
      <w:r>
        <w:rPr>
          <w:rFonts w:ascii="Times New Roman" w:hAnsi="Times New Roman"/>
          <w:snapToGrid w:val="0"/>
          <w:sz w:val="30"/>
          <w:szCs w:val="30"/>
        </w:rPr>
        <w:t>附图</w:t>
      </w:r>
      <w:bookmarkEnd w:id="29"/>
    </w:p>
    <w:p>
      <w:pPr>
        <w:pStyle w:val="15"/>
        <w:adjustRightInd w:val="0"/>
        <w:snapToGrid w:val="0"/>
        <w:spacing w:before="0" w:beforeAutospacing="0" w:after="0" w:afterAutospacing="0"/>
        <w:outlineLvl w:val="1"/>
        <w:rPr>
          <w:rFonts w:ascii="Times New Roman" w:hAnsi="Times New Roman"/>
          <w:snapToGrid w:val="0"/>
          <w:szCs w:val="24"/>
        </w:rPr>
      </w:pPr>
      <w:bookmarkStart w:id="30" w:name="_Toc210915809"/>
      <w:r>
        <w:drawing>
          <wp:anchor distT="0" distB="0" distL="114300" distR="114300" simplePos="0" relativeHeight="251669504" behindDoc="0" locked="0" layoutInCell="1" allowOverlap="1">
            <wp:simplePos x="0" y="0"/>
            <wp:positionH relativeFrom="column">
              <wp:posOffset>7606665</wp:posOffset>
            </wp:positionH>
            <wp:positionV relativeFrom="paragraph">
              <wp:posOffset>200025</wp:posOffset>
            </wp:positionV>
            <wp:extent cx="838200" cy="956945"/>
            <wp:effectExtent l="0" t="0" r="0" b="0"/>
            <wp:wrapNone/>
            <wp:docPr id="1165782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782178" name="图片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841325" cy="960568"/>
                    </a:xfrm>
                    <a:prstGeom prst="rect">
                      <a:avLst/>
                    </a:prstGeom>
                  </pic:spPr>
                </pic:pic>
              </a:graphicData>
            </a:graphic>
          </wp:anchor>
        </w:drawing>
      </w:r>
      <w:r>
        <w:rPr>
          <w:rFonts w:ascii="Times New Roman" w:hAnsi="Times New Roman"/>
          <w:snapToGrid w:val="0"/>
          <w:szCs w:val="24"/>
        </w:rPr>
        <w:t>附图1 地理位置图</w:t>
      </w:r>
      <w:bookmarkEnd w:id="30"/>
    </w:p>
    <w:p>
      <w:pPr>
        <w:pStyle w:val="46"/>
        <w:spacing w:line="240" w:lineRule="auto"/>
        <w:rPr>
          <w:rFonts w:eastAsia="宋体" w:cs="Times New Roman"/>
          <w:snapToGrid w:val="0"/>
        </w:rPr>
      </w:pPr>
      <w:r>
        <w:rPr>
          <w:rFonts w:eastAsia="宋体" w:cs="Times New Roman"/>
        </w:rPr>
        <mc:AlternateContent>
          <mc:Choice Requires="wps">
            <w:drawing>
              <wp:anchor distT="0" distB="0" distL="114300" distR="114300" simplePos="0" relativeHeight="251660288" behindDoc="0" locked="0" layoutInCell="1" allowOverlap="1">
                <wp:simplePos x="0" y="0"/>
                <wp:positionH relativeFrom="column">
                  <wp:posOffset>3037840</wp:posOffset>
                </wp:positionH>
                <wp:positionV relativeFrom="paragraph">
                  <wp:posOffset>3330575</wp:posOffset>
                </wp:positionV>
                <wp:extent cx="1456055" cy="626745"/>
                <wp:effectExtent l="38100" t="342900" r="48895" b="20955"/>
                <wp:wrapNone/>
                <wp:docPr id="12" name="对话气泡: 椭圆形 12"/>
                <wp:cNvGraphicFramePr/>
                <a:graphic xmlns:a="http://schemas.openxmlformats.org/drawingml/2006/main">
                  <a:graphicData uri="http://schemas.microsoft.com/office/word/2010/wordprocessingShape">
                    <wps:wsp>
                      <wps:cNvSpPr/>
                      <wps:spPr>
                        <a:xfrm>
                          <a:off x="0" y="0"/>
                          <a:ext cx="1456055" cy="626745"/>
                        </a:xfrm>
                        <a:prstGeom prst="wedgeEllipseCallout">
                          <a:avLst>
                            <a:gd name="adj1" fmla="val 48529"/>
                            <a:gd name="adj2" fmla="val -94968"/>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黑体" w:hAnsi="黑体" w:eastAsia="黑体"/>
                                <w:b/>
                                <w:bCs/>
                                <w:color w:val="FF0000"/>
                                <w:sz w:val="24"/>
                              </w:rPr>
                            </w:pPr>
                            <w:r>
                              <w:rPr>
                                <w:rFonts w:hint="eastAsia" w:ascii="黑体" w:hAnsi="黑体" w:eastAsia="黑体"/>
                                <w:b/>
                                <w:bCs/>
                                <w:color w:val="FF0000"/>
                                <w:sz w:val="24"/>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椭圆形 12" o:spid="_x0000_s1026" o:spt="63" type="#_x0000_t63" style="position:absolute;left:0pt;margin-left:239.2pt;margin-top:262.25pt;height:49.35pt;width:114.65pt;z-index:251660288;v-text-anchor:middle;mso-width-relative:page;mso-height-relative:page;" filled="f" stroked="t" coordsize="21600,21600" o:gfxdata="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WAAAAZHJzL1BLAQIU&#10;ABQAAAAIAIdO4kDtU9lZ3QAAAAsBAAAPAAAAAAAAAAEAIAAAADgAAABkcnMvZG93bnJldi54bWxQ&#10;SwECFAAUAAAACACHTuJAupFJUcACAABKBQAADgAAAAAAAAABACAAAABCAQAAZHJzL2Uyb0RvYy54&#10;bWxQSwUGAAAAAAYABgBZAQAAdAYAAAAA&#10;" adj="21282,-9713">
                <v:fill on="f" focussize="0,0"/>
                <v:stroke weight="2.25pt" color="#FF0000 [3204]" miterlimit="8" joinstyle="miter"/>
                <v:imagedata o:title=""/>
                <o:lock v:ext="edit" aspectratio="f"/>
                <v:textbox>
                  <w:txbxContent>
                    <w:p>
                      <w:pPr>
                        <w:jc w:val="center"/>
                        <w:rPr>
                          <w:rFonts w:hint="eastAsia" w:ascii="黑体" w:hAnsi="黑体" w:eastAsia="黑体"/>
                          <w:b/>
                          <w:bCs/>
                          <w:color w:val="FF0000"/>
                          <w:sz w:val="24"/>
                        </w:rPr>
                      </w:pPr>
                      <w:r>
                        <w:rPr>
                          <w:rFonts w:hint="eastAsia" w:ascii="黑体" w:hAnsi="黑体" w:eastAsia="黑体"/>
                          <w:b/>
                          <w:bCs/>
                          <w:color w:val="FF0000"/>
                          <w:sz w:val="24"/>
                        </w:rPr>
                        <w:t>本项目位置</w:t>
                      </w:r>
                    </w:p>
                  </w:txbxContent>
                </v:textbox>
              </v:shape>
            </w:pict>
          </mc:Fallback>
        </mc:AlternateContent>
      </w:r>
      <w:r>
        <w:drawing>
          <wp:inline distT="0" distB="0" distL="0" distR="0">
            <wp:extent cx="8367395" cy="5042535"/>
            <wp:effectExtent l="0" t="0" r="0" b="5715"/>
            <wp:docPr id="14333858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85830" name="图片 1"/>
                    <pic:cNvPicPr>
                      <a:picLocks noChangeAspect="1"/>
                    </pic:cNvPicPr>
                  </pic:nvPicPr>
                  <pic:blipFill>
                    <a:blip r:embed="rId34"/>
                    <a:srcRect t="2818"/>
                    <a:stretch>
                      <a:fillRect/>
                    </a:stretch>
                  </pic:blipFill>
                  <pic:spPr>
                    <a:xfrm>
                      <a:off x="0" y="0"/>
                      <a:ext cx="8380513" cy="5050525"/>
                    </a:xfrm>
                    <a:prstGeom prst="rect">
                      <a:avLst/>
                    </a:prstGeom>
                    <a:ln>
                      <a:noFill/>
                    </a:ln>
                  </pic:spPr>
                </pic:pic>
              </a:graphicData>
            </a:graphic>
          </wp:inline>
        </w:drawing>
      </w:r>
    </w:p>
    <w:p>
      <w:pPr>
        <w:pStyle w:val="46"/>
        <w:rPr>
          <w:rFonts w:eastAsia="宋体" w:cs="Times New Roman"/>
          <w:snapToGrid w:val="0"/>
        </w:rPr>
        <w:sectPr>
          <w:pgSz w:w="16838" w:h="11906" w:orient="landscape"/>
          <w:pgMar w:top="1531" w:right="1701" w:bottom="1531" w:left="1701" w:header="851" w:footer="851" w:gutter="0"/>
          <w:cols w:space="720" w:num="1"/>
          <w:docGrid w:linePitch="312" w:charSpace="0"/>
        </w:sectPr>
      </w:pPr>
    </w:p>
    <w:p>
      <w:pPr>
        <w:pStyle w:val="15"/>
        <w:adjustRightInd w:val="0"/>
        <w:snapToGrid w:val="0"/>
        <w:spacing w:before="0" w:beforeAutospacing="0" w:after="0" w:afterAutospacing="0"/>
        <w:outlineLvl w:val="1"/>
        <w:rPr>
          <w:rFonts w:ascii="Times New Roman" w:hAnsi="Times New Roman"/>
          <w:snapToGrid w:val="0"/>
          <w:sz w:val="28"/>
          <w:szCs w:val="28"/>
        </w:rPr>
      </w:pPr>
      <w:bookmarkStart w:id="31" w:name="_Toc210915810"/>
      <w:r>
        <w:rPr>
          <w:rFonts w:hint="eastAsia" w:ascii="Times New Roman" w:hAnsi="Times New Roman"/>
          <w:snapToGrid w:val="0"/>
          <w:sz w:val="28"/>
          <w:szCs w:val="28"/>
        </w:rPr>
        <w:t>附件2 鹤岗市中心城区土地利用现状图</w:t>
      </w:r>
      <w:bookmarkEnd w:id="31"/>
    </w:p>
    <w:p>
      <w:pPr>
        <w:pStyle w:val="15"/>
        <w:adjustRightInd w:val="0"/>
        <w:snapToGrid w:val="0"/>
        <w:spacing w:before="0" w:beforeAutospacing="0" w:after="0" w:afterAutospacing="0"/>
        <w:rPr>
          <w:rFonts w:ascii="Times New Roman" w:hAnsi="Times New Roman"/>
          <w:snapToGrid w:val="0"/>
          <w:sz w:val="28"/>
          <w:szCs w:val="28"/>
        </w:rPr>
      </w:pPr>
      <w:r>
        <mc:AlternateContent>
          <mc:Choice Requires="wps">
            <w:drawing>
              <wp:anchor distT="0" distB="0" distL="114300" distR="114300" simplePos="0" relativeHeight="251673600" behindDoc="0" locked="0" layoutInCell="1" allowOverlap="1">
                <wp:simplePos x="0" y="0"/>
                <wp:positionH relativeFrom="column">
                  <wp:posOffset>280035</wp:posOffset>
                </wp:positionH>
                <wp:positionV relativeFrom="paragraph">
                  <wp:posOffset>6082665</wp:posOffset>
                </wp:positionV>
                <wp:extent cx="1408430" cy="513715"/>
                <wp:effectExtent l="19050" t="171450" r="20320" b="38735"/>
                <wp:wrapNone/>
                <wp:docPr id="477850108" name="对话气泡: 椭圆形 477850108"/>
                <wp:cNvGraphicFramePr/>
                <a:graphic xmlns:a="http://schemas.openxmlformats.org/drawingml/2006/main">
                  <a:graphicData uri="http://schemas.microsoft.com/office/word/2010/wordprocessingShape">
                    <wps:wsp>
                      <wps:cNvSpPr/>
                      <wps:spPr>
                        <a:xfrm>
                          <a:off x="0" y="0"/>
                          <a:ext cx="1408562" cy="513781"/>
                        </a:xfrm>
                        <a:prstGeom prst="wedgeEllipseCallout">
                          <a:avLst>
                            <a:gd name="adj1" fmla="val 19835"/>
                            <a:gd name="adj2" fmla="val -77055"/>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黑体" w:hAnsi="黑体" w:eastAsia="黑体"/>
                                <w:b/>
                                <w:bCs/>
                                <w:color w:val="FF0000"/>
                                <w:sz w:val="24"/>
                              </w:rPr>
                            </w:pPr>
                            <w:r>
                              <w:rPr>
                                <w:rFonts w:hint="eastAsia" w:ascii="黑体" w:hAnsi="黑体" w:eastAsia="黑体"/>
                                <w:b/>
                                <w:bCs/>
                                <w:color w:val="FF0000"/>
                                <w:sz w:val="24"/>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椭圆形 477850108" o:spid="_x0000_s1026" o:spt="63" type="#_x0000_t63" style="position:absolute;left:0pt;margin-left:22.05pt;margin-top:478.95pt;height:40.45pt;width:110.9pt;z-index:251673600;v-text-anchor:middle;mso-width-relative:page;mso-height-relative:page;" filled="f" stroked="t" coordsize="21600,21600" o:gfxdata="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WAAAAZHJzL1BL&#10;AQIUABQAAAAIAIdO4kDcWsks2gAAAAsBAAAPAAAAAAAAAAEAIAAAADgAAABkcnMvZG93bnJldi54&#10;bWxQSwECFAAUAAAACACHTuJAUjJ0LMYCAABYBQAADgAAAAAAAAABACAAAAA/AQAAZHJzL2Uyb0Rv&#10;Yy54bWxQSwUGAAAAAAYABgBZAQAAdwYAAAAA&#10;" adj="15084,-5844">
                <v:fill on="f" focussize="0,0"/>
                <v:stroke weight="2.25pt" color="#FF0000 [3204]" miterlimit="8" joinstyle="miter"/>
                <v:imagedata o:title=""/>
                <o:lock v:ext="edit" aspectratio="f"/>
                <v:textbox>
                  <w:txbxContent>
                    <w:p>
                      <w:pPr>
                        <w:jc w:val="center"/>
                        <w:rPr>
                          <w:rFonts w:hint="eastAsia" w:ascii="黑体" w:hAnsi="黑体" w:eastAsia="黑体"/>
                          <w:b/>
                          <w:bCs/>
                          <w:color w:val="FF0000"/>
                          <w:sz w:val="24"/>
                        </w:rPr>
                      </w:pPr>
                      <w:r>
                        <w:rPr>
                          <w:rFonts w:hint="eastAsia" w:ascii="黑体" w:hAnsi="黑体" w:eastAsia="黑体"/>
                          <w:b/>
                          <w:bCs/>
                          <w:color w:val="FF0000"/>
                          <w:sz w:val="24"/>
                        </w:rPr>
                        <w:t>本项目位置</w:t>
                      </w:r>
                    </w:p>
                  </w:txbxContent>
                </v:textbox>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2094865</wp:posOffset>
                </wp:positionH>
                <wp:positionV relativeFrom="paragraph">
                  <wp:posOffset>3815715</wp:posOffset>
                </wp:positionV>
                <wp:extent cx="1388110" cy="536575"/>
                <wp:effectExtent l="133350" t="19050" r="21590" b="301625"/>
                <wp:wrapNone/>
                <wp:docPr id="1348177100" name="对话气泡: 椭圆形 1348177100"/>
                <wp:cNvGraphicFramePr/>
                <a:graphic xmlns:a="http://schemas.openxmlformats.org/drawingml/2006/main">
                  <a:graphicData uri="http://schemas.microsoft.com/office/word/2010/wordprocessingShape">
                    <wps:wsp>
                      <wps:cNvSpPr/>
                      <wps:spPr>
                        <a:xfrm>
                          <a:off x="0" y="0"/>
                          <a:ext cx="1388375" cy="536613"/>
                        </a:xfrm>
                        <a:prstGeom prst="wedgeEllipseCallout">
                          <a:avLst>
                            <a:gd name="adj1" fmla="val -55150"/>
                            <a:gd name="adj2" fmla="val 94973"/>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黑体" w:hAnsi="黑体" w:eastAsia="黑体"/>
                                <w:b/>
                                <w:bCs/>
                                <w:color w:val="FF0000"/>
                                <w:sz w:val="24"/>
                              </w:rPr>
                            </w:pPr>
                            <w:r>
                              <w:rPr>
                                <w:rFonts w:hint="eastAsia" w:ascii="黑体" w:hAnsi="黑体" w:eastAsia="黑体"/>
                                <w:b/>
                                <w:bCs/>
                                <w:color w:val="FF0000"/>
                                <w:sz w:val="24"/>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椭圆形 1348177100" o:spid="_x0000_s1026" o:spt="63" type="#_x0000_t63" style="position:absolute;left:0pt;margin-left:164.95pt;margin-top:300.45pt;height:42.25pt;width:109.3pt;z-index:251671552;v-text-anchor:middle;mso-width-relative:page;mso-height-relative:page;" filled="f" stroked="t" coordsize="21600,21600" o:gfxdata="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" adj="-1112,31314">
                <v:fill on="f" focussize="0,0"/>
                <v:stroke weight="2.25pt" color="#FF0000 [3204]" miterlimit="8" joinstyle="miter"/>
                <v:imagedata o:title=""/>
                <o:lock v:ext="edit" aspectratio="f"/>
                <v:textbox>
                  <w:txbxContent>
                    <w:p>
                      <w:pPr>
                        <w:jc w:val="center"/>
                        <w:rPr>
                          <w:rFonts w:hint="eastAsia" w:ascii="黑体" w:hAnsi="黑体" w:eastAsia="黑体"/>
                          <w:b/>
                          <w:bCs/>
                          <w:color w:val="FF0000"/>
                          <w:sz w:val="24"/>
                        </w:rPr>
                      </w:pPr>
                      <w:r>
                        <w:rPr>
                          <w:rFonts w:hint="eastAsia" w:ascii="黑体" w:hAnsi="黑体" w:eastAsia="黑体"/>
                          <w:b/>
                          <w:bCs/>
                          <w:color w:val="FF0000"/>
                          <w:sz w:val="24"/>
                        </w:rPr>
                        <w:t>本项目位置</w:t>
                      </w:r>
                    </w:p>
                  </w:txbxContent>
                </v:textbox>
              </v:shape>
            </w:pict>
          </mc:Fallback>
        </mc:AlternateContent>
      </w:r>
      <w:r>
        <w:drawing>
          <wp:anchor distT="0" distB="0" distL="114300" distR="114300" simplePos="0" relativeHeight="251670528" behindDoc="0" locked="0" layoutInCell="1" allowOverlap="1">
            <wp:simplePos x="0" y="0"/>
            <wp:positionH relativeFrom="column">
              <wp:posOffset>3106420</wp:posOffset>
            </wp:positionH>
            <wp:positionV relativeFrom="paragraph">
              <wp:posOffset>4906645</wp:posOffset>
            </wp:positionV>
            <wp:extent cx="2271395" cy="1903730"/>
            <wp:effectExtent l="0" t="0" r="0" b="1270"/>
            <wp:wrapNone/>
            <wp:docPr id="151213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1316" name="图片 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71981" cy="1903976"/>
                    </a:xfrm>
                    <a:prstGeom prst="rect">
                      <a:avLst/>
                    </a:prstGeom>
                  </pic:spPr>
                </pic:pic>
              </a:graphicData>
            </a:graphic>
          </wp:anchor>
        </w:drawing>
      </w:r>
      <w:r>
        <w:rPr>
          <w:rFonts w:ascii="Times New Roman" w:hAnsi="Times New Roman"/>
          <w:snapToGrid w:val="0"/>
          <w:sz w:val="28"/>
          <w:szCs w:val="28"/>
        </w:rPr>
        <mc:AlternateContent>
          <mc:Choice Requires="wps">
            <w:drawing>
              <wp:anchor distT="45720" distB="45720" distL="114300" distR="114300" simplePos="0" relativeHeight="251674624" behindDoc="0" locked="0" layoutInCell="1" allowOverlap="1">
                <wp:simplePos x="0" y="0"/>
                <wp:positionH relativeFrom="column">
                  <wp:posOffset>-2540</wp:posOffset>
                </wp:positionH>
                <wp:positionV relativeFrom="paragraph">
                  <wp:posOffset>4906010</wp:posOffset>
                </wp:positionV>
                <wp:extent cx="2360930" cy="1404620"/>
                <wp:effectExtent l="0" t="0" r="0" b="0"/>
                <wp:wrapNone/>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ln>
                      </wps:spPr>
                      <wps:txbx>
                        <w:txbxContent>
                          <w:p>
                            <w:pPr>
                              <w:rPr>
                                <w:rFonts w:ascii="仿宋_GB2312" w:eastAsia="仿宋_GB2312"/>
                                <w:b/>
                                <w:bCs/>
                              </w:rPr>
                            </w:pPr>
                            <w:r>
                              <w:rPr>
                                <w:rFonts w:hint="eastAsia" w:ascii="仿宋_GB2312" w:eastAsia="仿宋_GB2312"/>
                                <w:b/>
                                <w:bCs/>
                              </w:rPr>
                              <w:t>局部放大显示</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文本框 2" o:spid="_x0000_s1026" o:spt="202" type="#_x0000_t202" style="position:absolute;left:0pt;margin-left:-0.2pt;margin-top:386.3pt;height:110.6pt;width:185.9pt;z-index:251674624;mso-width-relative:margin;mso-height-relative:margin;mso-width-percent:400;mso-height-percent:200;" filled="f" stroked="f" coordsize="21600,21600" o:gfxdata="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&#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BYAAABkcnMvUEsBAhQAFAAAAAgAh07iQHzB067YAAAACQEAAA8AAAAAAAAAAQAgAAAAOAAAAGRy&#10;cy9kb3ducmV2LnhtbFBLAQIUABQAAAAIAIdO4kAxOX2hKAIAACwEAAAOAAAAAAAAAAEAIAAAAD0B&#10;AABkcnMvZTJvRG9jLnhtbFBLBQYAAAAABgAGAFkBAADXBQAAAAA=&#10;">
                <v:fill on="f" focussize="0,0"/>
                <v:stroke on="f" miterlimit="8" joinstyle="miter"/>
                <v:imagedata o:title=""/>
                <o:lock v:ext="edit" aspectratio="f"/>
                <v:textbox style="mso-fit-shape-to-text:t;">
                  <w:txbxContent>
                    <w:p>
                      <w:pPr>
                        <w:rPr>
                          <w:rFonts w:ascii="仿宋_GB2312" w:eastAsia="仿宋_GB2312"/>
                          <w:b/>
                          <w:bCs/>
                        </w:rPr>
                      </w:pPr>
                      <w:r>
                        <w:rPr>
                          <w:rFonts w:hint="eastAsia" w:ascii="仿宋_GB2312" w:eastAsia="仿宋_GB2312"/>
                          <w:b/>
                          <w:bCs/>
                        </w:rPr>
                        <w:t>局部放大显示</w:t>
                      </w:r>
                    </w:p>
                  </w:txbxContent>
                </v:textbox>
              </v:shape>
            </w:pict>
          </mc:Fallback>
        </mc:AlternateContent>
      </w:r>
      <w:r>
        <w:drawing>
          <wp:anchor distT="0" distB="0" distL="114300" distR="114300" simplePos="0" relativeHeight="251672576" behindDoc="0" locked="0" layoutInCell="1" allowOverlap="1">
            <wp:simplePos x="0" y="0"/>
            <wp:positionH relativeFrom="column">
              <wp:posOffset>92075</wp:posOffset>
            </wp:positionH>
            <wp:positionV relativeFrom="paragraph">
              <wp:posOffset>4944110</wp:posOffset>
            </wp:positionV>
            <wp:extent cx="2470150" cy="1873885"/>
            <wp:effectExtent l="19050" t="19050" r="25400" b="12065"/>
            <wp:wrapNone/>
            <wp:docPr id="3685059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05923" name="图片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486905" cy="1886789"/>
                    </a:xfrm>
                    <a:prstGeom prst="rect">
                      <a:avLst/>
                    </a:prstGeom>
                    <a:noFill/>
                    <a:ln>
                      <a:solidFill>
                        <a:schemeClr val="tx1"/>
                      </a:solidFill>
                    </a:ln>
                  </pic:spPr>
                </pic:pic>
              </a:graphicData>
            </a:graphic>
          </wp:anchor>
        </w:drawing>
      </w:r>
      <w:r>
        <w:drawing>
          <wp:inline distT="0" distB="0" distL="0" distR="0">
            <wp:extent cx="5615940" cy="7059930"/>
            <wp:effectExtent l="0" t="0" r="3810" b="7620"/>
            <wp:docPr id="1329056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056173" name="图片 1"/>
                    <pic:cNvPicPr>
                      <a:picLocks noChangeAspect="1"/>
                    </pic:cNvPicPr>
                  </pic:nvPicPr>
                  <pic:blipFill>
                    <a:blip r:embed="rId37"/>
                    <a:stretch>
                      <a:fillRect/>
                    </a:stretch>
                  </pic:blipFill>
                  <pic:spPr>
                    <a:xfrm>
                      <a:off x="0" y="0"/>
                      <a:ext cx="5615940" cy="7059930"/>
                    </a:xfrm>
                    <a:prstGeom prst="rect">
                      <a:avLst/>
                    </a:prstGeom>
                  </pic:spPr>
                </pic:pic>
              </a:graphicData>
            </a:graphic>
          </wp:inline>
        </w:drawing>
      </w:r>
    </w:p>
    <w:p>
      <w:pPr>
        <w:widowControl/>
        <w:jc w:val="left"/>
        <w:rPr>
          <w:snapToGrid w:val="0"/>
          <w:sz w:val="28"/>
          <w:szCs w:val="28"/>
        </w:rPr>
        <w:sectPr>
          <w:pgSz w:w="11906" w:h="16838"/>
          <w:pgMar w:top="1701" w:right="1531" w:bottom="1701" w:left="1531" w:header="851" w:footer="851" w:gutter="0"/>
          <w:cols w:space="720" w:num="1"/>
          <w:docGrid w:linePitch="312" w:charSpace="0"/>
        </w:sectPr>
      </w:pPr>
      <w:r>
        <w:rPr>
          <w:snapToGrid w:val="0"/>
          <w:sz w:val="28"/>
          <w:szCs w:val="28"/>
        </w:rPr>
        <w:br w:type="page"/>
      </w:r>
    </w:p>
    <w:p>
      <w:pPr>
        <w:pStyle w:val="15"/>
        <w:adjustRightInd w:val="0"/>
        <w:snapToGrid w:val="0"/>
        <w:spacing w:before="0" w:beforeAutospacing="0" w:after="0" w:afterAutospacing="0"/>
        <w:outlineLvl w:val="1"/>
        <w:rPr>
          <w:rFonts w:ascii="Times New Roman" w:hAnsi="Times New Roman"/>
          <w:snapToGrid w:val="0"/>
          <w:szCs w:val="24"/>
        </w:rPr>
      </w:pPr>
      <w:bookmarkStart w:id="32" w:name="_Toc210915811"/>
      <w:r>
        <w:rPr>
          <w:rFonts w:ascii="Times New Roman" w:hAnsi="Times New Roman"/>
          <w:snapToGrid w:val="0"/>
          <w:szCs w:val="24"/>
        </w:rPr>
        <w:t>附图</w:t>
      </w:r>
      <w:r>
        <w:rPr>
          <w:rFonts w:hint="eastAsia" w:ascii="Times New Roman" w:hAnsi="Times New Roman"/>
          <w:snapToGrid w:val="0"/>
          <w:szCs w:val="24"/>
        </w:rPr>
        <w:t>3</w:t>
      </w:r>
      <w:r>
        <w:rPr>
          <w:rFonts w:ascii="Times New Roman" w:hAnsi="Times New Roman"/>
          <w:snapToGrid w:val="0"/>
          <w:szCs w:val="24"/>
        </w:rPr>
        <w:t xml:space="preserve"> 平面布置图</w:t>
      </w:r>
      <w:bookmarkEnd w:id="32"/>
    </w:p>
    <w:p>
      <w:pPr>
        <w:widowControl/>
        <w:jc w:val="center"/>
        <w:rPr>
          <w:snapToGrid w:val="0"/>
          <w:kern w:val="0"/>
          <w:sz w:val="24"/>
        </w:rPr>
      </w:pPr>
      <w:r>
        <mc:AlternateContent>
          <mc:Choice Requires="wps">
            <w:drawing>
              <wp:anchor distT="0" distB="0" distL="114300" distR="114300" simplePos="0" relativeHeight="251679744" behindDoc="0" locked="0" layoutInCell="1" allowOverlap="1">
                <wp:simplePos x="0" y="0"/>
                <wp:positionH relativeFrom="column">
                  <wp:posOffset>7384415</wp:posOffset>
                </wp:positionH>
                <wp:positionV relativeFrom="paragraph">
                  <wp:posOffset>4773930</wp:posOffset>
                </wp:positionV>
                <wp:extent cx="444500" cy="171450"/>
                <wp:effectExtent l="0" t="0" r="12700" b="19050"/>
                <wp:wrapNone/>
                <wp:docPr id="100990567" name="矩形 9"/>
                <wp:cNvGraphicFramePr/>
                <a:graphic xmlns:a="http://schemas.openxmlformats.org/drawingml/2006/main">
                  <a:graphicData uri="http://schemas.microsoft.com/office/word/2010/wordprocessingShape">
                    <wps:wsp>
                      <wps:cNvSpPr/>
                      <wps:spPr>
                        <a:xfrm>
                          <a:off x="0" y="0"/>
                          <a:ext cx="444500" cy="171450"/>
                        </a:xfrm>
                        <a:prstGeom prst="rect">
                          <a:avLst/>
                        </a:pr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9" o:spid="_x0000_s1026" o:spt="1" style="position:absolute;left:0pt;margin-left:581.45pt;margin-top:375.9pt;height:13.5pt;width:35pt;z-index:251679744;v-text-anchor:middle;mso-width-relative:page;mso-height-relative:page;" filled="f" stroked="t" coordsize="21600,21600" o:gfxdata="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FgAAAGRycy9QSwECFAAUAAAACACHTuJAa/mx9NoAAAANAQAADwAAAAAAAAAB&#10;ACAAAAA4AAAAZHJzL2Rvd25yZXYueG1sUEsBAhQAFAAAAAgAh07iQDahWIhqAgAA0gQAAA4AAAAA&#10;AAAAAQAgAAAAPwEAAGRycy9lMm9Eb2MueG1sUEsFBgAAAAAGAAYAWQEAABsGAAAAAA==&#10;">
                <v:fill on="f" focussize="0,0"/>
                <v:stroke weight="1.5pt" color="#000000 [3213]" miterlimit="8" joinstyle="miter"/>
                <v:imagedata o:title=""/>
                <o:lock v:ext="edit" aspectratio="f"/>
              </v:rect>
            </w:pict>
          </mc:Fallback>
        </mc:AlternateContent>
      </w:r>
      <w:r>
        <w:rPr>
          <w:snapToGrid w:val="0"/>
          <w:kern w:val="0"/>
          <w:sz w:val="24"/>
        </w:rPr>
        <mc:AlternateContent>
          <mc:Choice Requires="wps">
            <w:drawing>
              <wp:anchor distT="45720" distB="45720" distL="114300" distR="114300" simplePos="0" relativeHeight="251678720" behindDoc="0" locked="0" layoutInCell="1" allowOverlap="1">
                <wp:simplePos x="0" y="0"/>
                <wp:positionH relativeFrom="column">
                  <wp:posOffset>6755765</wp:posOffset>
                </wp:positionH>
                <wp:positionV relativeFrom="paragraph">
                  <wp:posOffset>4723130</wp:posOffset>
                </wp:positionV>
                <wp:extent cx="2360930" cy="1404620"/>
                <wp:effectExtent l="0" t="0" r="0" b="0"/>
                <wp:wrapNone/>
                <wp:docPr id="147449193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ln>
                      </wps:spPr>
                      <wps:txbx>
                        <w:txbxContent>
                          <w:p>
                            <w:r>
                              <w:rPr>
                                <w:rFonts w:hint="eastAsia"/>
                              </w:rPr>
                              <w:t>厂界</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文本框 2" o:spid="_x0000_s1026" o:spt="202" type="#_x0000_t202" style="position:absolute;left:0pt;margin-left:531.95pt;margin-top:371.9pt;height:110.6pt;width:185.9pt;z-index:251678720;mso-width-relative:margin;mso-height-relative:margin;mso-width-percent:400;mso-height-percent:200;" filled="f" stroked="f" coordsize="21600,21600" o:gfxdata="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BYAAABkcnMvUEsBAhQAFAAAAAgAh07iQKzX0HvZAAAADQEAAA8AAAAAAAAAAQAgAAAA&#10;OAAAAGRycy9kb3ducmV2LnhtbFBLAQIUABQAAAAIAIdO4kB1xUH8LQIAADMEAAAOAAAAAAAAAAEA&#10;IAAAAD4BAABkcnMvZTJvRG9jLnhtbFBLBQYAAAAABgAGAFkBAADdBQAAAAA=&#10;">
                <v:fill on="f" focussize="0,0"/>
                <v:stroke on="f" miterlimit="8" joinstyle="miter"/>
                <v:imagedata o:title=""/>
                <o:lock v:ext="edit" aspectratio="f"/>
                <v:textbox style="mso-fit-shape-to-text:t;">
                  <w:txbxContent>
                    <w:p>
                      <w:r>
                        <w:rPr>
                          <w:rFonts w:hint="eastAsia"/>
                        </w:rPr>
                        <w:t>厂界</w:t>
                      </w:r>
                    </w:p>
                  </w:txbxContent>
                </v:textbox>
              </v:shape>
            </w:pict>
          </mc:Fallback>
        </mc:AlternateContent>
      </w:r>
      <w:r>
        <w:rPr>
          <w:snapToGrid w:val="0"/>
          <w:kern w:val="0"/>
          <w:sz w:val="24"/>
        </w:rPr>
        <mc:AlternateContent>
          <mc:Choice Requires="wps">
            <w:drawing>
              <wp:anchor distT="45720" distB="45720" distL="114300" distR="114300" simplePos="0" relativeHeight="251677696" behindDoc="0" locked="0" layoutInCell="1" allowOverlap="1">
                <wp:simplePos x="0" y="0"/>
                <wp:positionH relativeFrom="column">
                  <wp:posOffset>7131685</wp:posOffset>
                </wp:positionH>
                <wp:positionV relativeFrom="paragraph">
                  <wp:posOffset>4259580</wp:posOffset>
                </wp:positionV>
                <wp:extent cx="2360930" cy="1404620"/>
                <wp:effectExtent l="0" t="0" r="0" b="0"/>
                <wp:wrapNone/>
                <wp:docPr id="94197807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ln>
                      </wps:spPr>
                      <wps:txbx>
                        <w:txbxContent>
                          <w:p>
                            <w:r>
                              <w:rPr>
                                <w:rFonts w:hint="eastAsia"/>
                              </w:rPr>
                              <w:t>图例</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文本框 2" o:spid="_x0000_s1026" o:spt="202" type="#_x0000_t202" style="position:absolute;left:0pt;margin-left:561.55pt;margin-top:335.4pt;height:110.6pt;width:185.9pt;z-index:251677696;mso-width-relative:margin;mso-height-relative:margin;mso-width-percent:400;mso-height-percent:200;" filled="f" stroked="f" coordsize="21600,21600" o:gfxdata="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BYAAABkcnMvUEsBAhQAFAAAAAgAh07iQES50tLaAAAADQEAAA8AAAAAAAAAAQAgAAAA&#10;OAAAAGRycy9kb3ducmV2LnhtbFBLAQIUABQAAAAIAIdO4kDrmD2SLAIAADIEAAAOAAAAAAAAAAEA&#10;IAAAAD8BAABkcnMvZTJvRG9jLnhtbFBLBQYAAAAABgAGAFkBAADdBQAAAAA=&#10;">
                <v:fill on="f" focussize="0,0"/>
                <v:stroke on="f" miterlimit="8" joinstyle="miter"/>
                <v:imagedata o:title=""/>
                <o:lock v:ext="edit" aspectratio="f"/>
                <v:textbox style="mso-fit-shape-to-text:t;">
                  <w:txbxContent>
                    <w:p>
                      <w:r>
                        <w:rPr>
                          <w:rFonts w:hint="eastAsia"/>
                        </w:rPr>
                        <w:t>图例</w:t>
                      </w:r>
                    </w:p>
                  </w:txbxContent>
                </v:textbox>
              </v:shap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6736715</wp:posOffset>
                </wp:positionH>
                <wp:positionV relativeFrom="paragraph">
                  <wp:posOffset>4221480</wp:posOffset>
                </wp:positionV>
                <wp:extent cx="1247775" cy="971550"/>
                <wp:effectExtent l="0" t="0" r="28575" b="19050"/>
                <wp:wrapNone/>
                <wp:docPr id="201969742" name="矩形 9"/>
                <wp:cNvGraphicFramePr/>
                <a:graphic xmlns:a="http://schemas.openxmlformats.org/drawingml/2006/main">
                  <a:graphicData uri="http://schemas.microsoft.com/office/word/2010/wordprocessingShape">
                    <wps:wsp>
                      <wps:cNvSpPr/>
                      <wps:spPr>
                        <a:xfrm>
                          <a:off x="0" y="0"/>
                          <a:ext cx="1247775" cy="97155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9" o:spid="_x0000_s1026" o:spt="1" style="position:absolute;left:0pt;margin-left:530.45pt;margin-top:332.4pt;height:76.5pt;width:98.25pt;z-index:251676672;v-text-anchor:middle;mso-width-relative:page;mso-height-relative:page;" filled="f" stroked="t" coordsize="21600,21600" o:gfxdata="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FgAAAGRycy9QSwECFAAUAAAACACHTuJAgVqL6doAAAANAQAADwAAAAAA&#10;AAABACAAAAA4AAAAZHJzL2Rvd25yZXYueG1sUEsBAhQAFAAAAAgAh07iQJCuM29tAgAA0wQAAA4A&#10;AAAAAAAAAQAgAAAAPwEAAGRycy9lMm9Eb2MueG1sUEsFBgAAAAAGAAYAWQEAAB4GAAAAAA==&#10;">
                <v:fill on="f" focussize="0,0"/>
                <v:stroke weight="1pt" color="#000000 [3213]" miterlimit="8" joinstyle="miter"/>
                <v:imagedata o:title=""/>
                <o:lock v:ext="edit" aspectratio="f"/>
              </v:rect>
            </w:pict>
          </mc:Fallback>
        </mc:AlternateContent>
      </w:r>
      <w:r>
        <w:drawing>
          <wp:anchor distT="0" distB="0" distL="114300" distR="114300" simplePos="0" relativeHeight="251667456" behindDoc="0" locked="0" layoutInCell="1" allowOverlap="1">
            <wp:simplePos x="0" y="0"/>
            <wp:positionH relativeFrom="column">
              <wp:posOffset>7175500</wp:posOffset>
            </wp:positionH>
            <wp:positionV relativeFrom="paragraph">
              <wp:posOffset>117475</wp:posOffset>
            </wp:positionV>
            <wp:extent cx="706755" cy="807085"/>
            <wp:effectExtent l="0" t="0" r="0" b="0"/>
            <wp:wrapNone/>
            <wp:docPr id="15189250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25034" name="图片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706755" cy="806925"/>
                    </a:xfrm>
                    <a:prstGeom prst="rect">
                      <a:avLst/>
                    </a:prstGeom>
                  </pic:spPr>
                </pic:pic>
              </a:graphicData>
            </a:graphic>
          </wp:anchor>
        </w:drawing>
      </w:r>
      <w:r>
        <w:rPr>
          <w:snapToGrid w:val="0"/>
        </w:rPr>
        <mc:AlternateContent>
          <mc:Choice Requires="wps">
            <w:drawing>
              <wp:anchor distT="45720" distB="45720" distL="114300" distR="114300" simplePos="0" relativeHeight="251665408" behindDoc="0" locked="0" layoutInCell="1" allowOverlap="1">
                <wp:simplePos x="0" y="0"/>
                <wp:positionH relativeFrom="column">
                  <wp:posOffset>1455420</wp:posOffset>
                </wp:positionH>
                <wp:positionV relativeFrom="paragraph">
                  <wp:posOffset>4631690</wp:posOffset>
                </wp:positionV>
                <wp:extent cx="621665" cy="1404620"/>
                <wp:effectExtent l="0" t="0" r="0" b="0"/>
                <wp:wrapNone/>
                <wp:docPr id="14657502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665" cy="1404620"/>
                        </a:xfrm>
                        <a:prstGeom prst="rect">
                          <a:avLst/>
                        </a:prstGeom>
                        <a:noFill/>
                        <a:ln w="9525">
                          <a:noFill/>
                          <a:miter lim="800000"/>
                        </a:ln>
                      </wps:spPr>
                      <wps:txbx>
                        <w:txbxContent>
                          <w:p>
                            <w:pPr>
                              <w:rPr>
                                <w:color w:val="000000" w:themeColor="text1"/>
                                <w14:textFill>
                                  <w14:solidFill>
                                    <w14:schemeClr w14:val="tx1"/>
                                  </w14:solidFill>
                                </w14:textFill>
                              </w:rPr>
                            </w:pPr>
                            <w:r>
                              <w:rPr>
                                <w:rFonts w:hint="eastAsia"/>
                                <w:color w:val="000000" w:themeColor="text1"/>
                                <w14:textFill>
                                  <w14:solidFill>
                                    <w14:schemeClr w14:val="tx1"/>
                                  </w14:solidFill>
                                </w14:textFill>
                              </w:rPr>
                              <w:t>30m</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14.6pt;margin-top:364.7pt;height:110.6pt;width:48.95pt;z-index:251665408;mso-width-relative:page;mso-height-relative:margin;mso-height-percent:200;" filled="f" stroked="f" coordsize="21600,21600" o:gfxdata="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FgAAAGRycy9QSwECFAAUAAAACACHTuJAVwxTF9kAAAALAQAADwAAAAAAAAABACAAAAA4&#10;AAAAZHJzL2Rvd25yZXYueG1sUEsBAhQAFAAAAAgAh07iQJz1h2YsAgAAMQQAAA4AAAAAAAAAAQAg&#10;AAAAPgEAAGRycy9lMm9Eb2MueG1sUEsFBgAAAAAGAAYAWQEAANwFAAAAAA==&#10;">
                <v:fill on="f" focussize="0,0"/>
                <v:stroke on="f" miterlimit="8" joinstyle="miter"/>
                <v:imagedata o:title=""/>
                <o:lock v:ext="edit" aspectratio="f"/>
                <v:textbox style="mso-fit-shape-to-text:t;">
                  <w:txbxContent>
                    <w:p>
                      <w:pPr>
                        <w:rPr>
                          <w:color w:val="000000" w:themeColor="text1"/>
                          <w14:textFill>
                            <w14:solidFill>
                              <w14:schemeClr w14:val="tx1"/>
                            </w14:solidFill>
                          </w14:textFill>
                        </w:rPr>
                      </w:pPr>
                      <w:r>
                        <w:rPr>
                          <w:rFonts w:hint="eastAsia"/>
                          <w:color w:val="000000" w:themeColor="text1"/>
                          <w14:textFill>
                            <w14:solidFill>
                              <w14:schemeClr w14:val="tx1"/>
                            </w14:solidFill>
                          </w14:textFill>
                        </w:rPr>
                        <w:t>30m</w:t>
                      </w:r>
                    </w:p>
                  </w:txbxContent>
                </v:textbox>
              </v:shape>
            </w:pict>
          </mc:Fallback>
        </mc:AlternateContent>
      </w:r>
      <w:r>
        <w:rPr>
          <w:b/>
          <w:bCs/>
          <w:sz w:val="28"/>
        </w:rPr>
        <mc:AlternateContent>
          <mc:Choice Requires="wps">
            <w:drawing>
              <wp:anchor distT="0" distB="0" distL="114300" distR="114300" simplePos="0" relativeHeight="251664384" behindDoc="0" locked="0" layoutInCell="1" allowOverlap="1">
                <wp:simplePos x="0" y="0"/>
                <wp:positionH relativeFrom="column">
                  <wp:posOffset>1358265</wp:posOffset>
                </wp:positionH>
                <wp:positionV relativeFrom="paragraph">
                  <wp:posOffset>4575175</wp:posOffset>
                </wp:positionV>
                <wp:extent cx="636270" cy="0"/>
                <wp:effectExtent l="0" t="0" r="0" b="0"/>
                <wp:wrapNone/>
                <wp:docPr id="1390702934" name="直接连接符 1"/>
                <wp:cNvGraphicFramePr/>
                <a:graphic xmlns:a="http://schemas.openxmlformats.org/drawingml/2006/main">
                  <a:graphicData uri="http://schemas.microsoft.com/office/word/2010/wordprocessingShape">
                    <wps:wsp>
                      <wps:cNvCnPr/>
                      <wps:spPr>
                        <a:xfrm>
                          <a:off x="0" y="0"/>
                          <a:ext cx="636423" cy="0"/>
                        </a:xfrm>
                        <a:prstGeom prst="line">
                          <a:avLst/>
                        </a:prstGeom>
                        <a:ln w="12700">
                          <a:solidFill>
                            <a:srgbClr val="0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 o:spid="_x0000_s1026" o:spt="20" style="position:absolute;left:0pt;margin-left:106.95pt;margin-top:360.25pt;height:0pt;width:50.1pt;z-index:251664384;mso-width-relative:page;mso-height-relative:page;" filled="f" stroked="t" coordsize="21600,21600" o:gfxdata="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BYA&#10;AABkcnMvUEsBAhQAFAAAAAgAh07iQFB3UZjZAAAACwEAAA8AAAAAAAAAAQAgAAAAOAAAAGRycy9k&#10;b3ducmV2LnhtbFBLAQIUABQAAAAIAIdO4kBC7R0i6wEAALoDAAAOAAAAAAAAAAEAIAAAAD4BAABk&#10;cnMvZTJvRG9jLnhtbFBLBQYAAAAABgAGAFkBAACbBQAAAAA=&#10;">
                <v:fill on="f" focussize="0,0"/>
                <v:stroke weight="1pt" color="#000000 [3204]" miterlimit="8" joinstyle="miter"/>
                <v:imagedata o:title=""/>
                <o:lock v:ext="edit" aspectratio="f"/>
              </v:line>
            </w:pict>
          </mc:Fallback>
        </mc:AlternateContent>
      </w:r>
      <w:r>
        <w:drawing>
          <wp:inline distT="0" distB="0" distL="0" distR="0">
            <wp:extent cx="7644765" cy="5200015"/>
            <wp:effectExtent l="0" t="0" r="0" b="635"/>
            <wp:docPr id="12589477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947778" name="图片 1"/>
                    <pic:cNvPicPr>
                      <a:picLocks noChangeAspect="1"/>
                    </pic:cNvPicPr>
                  </pic:nvPicPr>
                  <pic:blipFill>
                    <a:blip r:embed="rId38"/>
                    <a:stretch>
                      <a:fillRect/>
                    </a:stretch>
                  </pic:blipFill>
                  <pic:spPr>
                    <a:xfrm>
                      <a:off x="0" y="0"/>
                      <a:ext cx="7650335" cy="5204181"/>
                    </a:xfrm>
                    <a:prstGeom prst="rect">
                      <a:avLst/>
                    </a:prstGeom>
                  </pic:spPr>
                </pic:pic>
              </a:graphicData>
            </a:graphic>
          </wp:inline>
        </w:drawing>
      </w:r>
    </w:p>
    <w:p>
      <w:pPr>
        <w:widowControl/>
        <w:jc w:val="left"/>
        <w:rPr>
          <w:snapToGrid w:val="0"/>
          <w:kern w:val="0"/>
          <w:sz w:val="24"/>
        </w:rPr>
      </w:pPr>
      <w:r>
        <w:rPr>
          <w:snapToGrid w:val="0"/>
          <w:kern w:val="0"/>
          <w:sz w:val="24"/>
        </w:rPr>
        <w:br w:type="page"/>
      </w:r>
    </w:p>
    <w:p>
      <w:pPr>
        <w:widowControl/>
        <w:jc w:val="center"/>
        <w:rPr>
          <w:snapToGrid w:val="0"/>
          <w:kern w:val="0"/>
          <w:sz w:val="24"/>
        </w:rPr>
      </w:pPr>
    </w:p>
    <w:p>
      <w:pPr>
        <w:pStyle w:val="15"/>
        <w:adjustRightInd w:val="0"/>
        <w:snapToGrid w:val="0"/>
        <w:spacing w:before="0" w:beforeAutospacing="0" w:after="0" w:afterAutospacing="0"/>
        <w:outlineLvl w:val="1"/>
        <w:rPr>
          <w:rFonts w:ascii="Times New Roman" w:hAnsi="Times New Roman"/>
          <w:snapToGrid w:val="0"/>
          <w:szCs w:val="24"/>
        </w:rPr>
      </w:pPr>
      <w:bookmarkStart w:id="33" w:name="_Toc210915812"/>
      <w:r>
        <w:rPr>
          <w:rFonts w:ascii="Times New Roman" w:hAnsi="Times New Roman"/>
          <w:snapToGrid w:val="0"/>
          <w:szCs w:val="24"/>
        </w:rPr>
        <w:t>附图</w:t>
      </w:r>
      <w:r>
        <w:rPr>
          <w:rFonts w:hint="eastAsia" w:ascii="Times New Roman" w:hAnsi="Times New Roman"/>
          <w:snapToGrid w:val="0"/>
          <w:szCs w:val="24"/>
        </w:rPr>
        <w:t>4</w:t>
      </w:r>
      <w:r>
        <w:rPr>
          <w:rFonts w:ascii="Times New Roman" w:hAnsi="Times New Roman"/>
          <w:snapToGrid w:val="0"/>
          <w:szCs w:val="24"/>
        </w:rPr>
        <w:t xml:space="preserve"> </w:t>
      </w:r>
      <w:r>
        <w:rPr>
          <w:rFonts w:hint="eastAsia" w:ascii="Times New Roman" w:hAnsi="Times New Roman"/>
          <w:snapToGrid w:val="0"/>
          <w:szCs w:val="24"/>
        </w:rPr>
        <w:t>防渗分区图</w:t>
      </w:r>
      <w:bookmarkEnd w:id="33"/>
    </w:p>
    <w:p>
      <w:pPr>
        <w:pStyle w:val="15"/>
        <w:adjustRightInd w:val="0"/>
        <w:snapToGrid w:val="0"/>
        <w:spacing w:before="0" w:beforeAutospacing="0" w:after="0" w:afterAutospacing="0"/>
        <w:jc w:val="center"/>
        <w:rPr>
          <w:rFonts w:hint="eastAsia"/>
          <w:snapToGrid w:val="0"/>
        </w:rPr>
      </w:pPr>
      <w:r>
        <w:rPr>
          <w:snapToGrid w:val="0"/>
        </w:rPr>
        <mc:AlternateContent>
          <mc:Choice Requires="wps">
            <w:drawing>
              <wp:anchor distT="45720" distB="45720" distL="114300" distR="114300" simplePos="0" relativeHeight="251685888" behindDoc="0" locked="0" layoutInCell="1" allowOverlap="1">
                <wp:simplePos x="0" y="0"/>
                <wp:positionH relativeFrom="column">
                  <wp:posOffset>1310640</wp:posOffset>
                </wp:positionH>
                <wp:positionV relativeFrom="paragraph">
                  <wp:posOffset>4531995</wp:posOffset>
                </wp:positionV>
                <wp:extent cx="621665" cy="1404620"/>
                <wp:effectExtent l="0" t="0" r="0" b="0"/>
                <wp:wrapNone/>
                <wp:docPr id="20681112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21665" cy="1404620"/>
                        </a:xfrm>
                        <a:prstGeom prst="rect">
                          <a:avLst/>
                        </a:prstGeom>
                        <a:noFill/>
                        <a:ln w="9525">
                          <a:noFill/>
                          <a:miter lim="800000"/>
                        </a:ln>
                      </wps:spPr>
                      <wps:txbx>
                        <w:txbxContent>
                          <w:p>
                            <w:pPr>
                              <w:rPr>
                                <w:color w:val="000000" w:themeColor="text1"/>
                                <w14:textFill>
                                  <w14:solidFill>
                                    <w14:schemeClr w14:val="tx1"/>
                                  </w14:solidFill>
                                </w14:textFill>
                              </w:rPr>
                            </w:pPr>
                            <w:r>
                              <w:rPr>
                                <w:rFonts w:hint="eastAsia"/>
                                <w:color w:val="000000" w:themeColor="text1"/>
                                <w14:textFill>
                                  <w14:solidFill>
                                    <w14:schemeClr w14:val="tx1"/>
                                  </w14:solidFill>
                                </w14:textFill>
                              </w:rPr>
                              <w:t>30m</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03.2pt;margin-top:356.85pt;height:110.6pt;width:48.95pt;z-index:251685888;mso-width-relative:page;mso-height-relative:margin;mso-height-percent:200;" filled="f" stroked="f" coordsize="21600,21600" o:gfxdata="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BYAAABkcnMvUEsBAhQAFAAAAAgAh07iQIvg1lTaAAAACwEAAA8AAAAAAAAAAQAgAAAA&#10;OAAAAGRycy9kb3ducmV2LnhtbFBLAQIUABQAAAAIAIdO4kAXLd4mLAIAADEEAAAOAAAAAAAAAAEA&#10;IAAAAD8BAABkcnMvZTJvRG9jLnhtbFBLBQYAAAAABgAGAFkBAADdBQAAAAA=&#10;">
                <v:fill on="f" focussize="0,0"/>
                <v:stroke on="f" miterlimit="8" joinstyle="miter"/>
                <v:imagedata o:title=""/>
                <o:lock v:ext="edit" aspectratio="f"/>
                <v:textbox style="mso-fit-shape-to-text:t;">
                  <w:txbxContent>
                    <w:p>
                      <w:pPr>
                        <w:rPr>
                          <w:color w:val="000000" w:themeColor="text1"/>
                          <w14:textFill>
                            <w14:solidFill>
                              <w14:schemeClr w14:val="tx1"/>
                            </w14:solidFill>
                          </w14:textFill>
                        </w:rPr>
                      </w:pPr>
                      <w:r>
                        <w:rPr>
                          <w:rFonts w:hint="eastAsia"/>
                          <w:color w:val="000000" w:themeColor="text1"/>
                          <w14:textFill>
                            <w14:solidFill>
                              <w14:schemeClr w14:val="tx1"/>
                            </w14:solidFill>
                          </w14:textFill>
                        </w:rPr>
                        <w:t>30m</w:t>
                      </w:r>
                    </w:p>
                  </w:txbxContent>
                </v:textbox>
              </v:shape>
            </w:pict>
          </mc:Fallback>
        </mc:AlternateContent>
      </w:r>
      <w:r>
        <w:rPr>
          <w:b/>
          <w:bCs/>
          <w:sz w:val="28"/>
        </w:rPr>
        <mc:AlternateContent>
          <mc:Choice Requires="wps">
            <w:drawing>
              <wp:anchor distT="0" distB="0" distL="114300" distR="114300" simplePos="0" relativeHeight="251684864" behindDoc="0" locked="0" layoutInCell="1" allowOverlap="1">
                <wp:simplePos x="0" y="0"/>
                <wp:positionH relativeFrom="column">
                  <wp:posOffset>1196340</wp:posOffset>
                </wp:positionH>
                <wp:positionV relativeFrom="paragraph">
                  <wp:posOffset>4493895</wp:posOffset>
                </wp:positionV>
                <wp:extent cx="636270" cy="0"/>
                <wp:effectExtent l="0" t="0" r="0" b="0"/>
                <wp:wrapNone/>
                <wp:docPr id="1276980826" name="直接连接符 1"/>
                <wp:cNvGraphicFramePr/>
                <a:graphic xmlns:a="http://schemas.openxmlformats.org/drawingml/2006/main">
                  <a:graphicData uri="http://schemas.microsoft.com/office/word/2010/wordprocessingShape">
                    <wps:wsp>
                      <wps:cNvCnPr/>
                      <wps:spPr>
                        <a:xfrm>
                          <a:off x="0" y="0"/>
                          <a:ext cx="636423" cy="0"/>
                        </a:xfrm>
                        <a:prstGeom prst="line">
                          <a:avLst/>
                        </a:prstGeom>
                        <a:ln w="12700">
                          <a:solidFill>
                            <a:srgbClr val="0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 o:spid="_x0000_s1026" o:spt="20" style="position:absolute;left:0pt;margin-left:94.2pt;margin-top:353.85pt;height:0pt;width:50.1pt;z-index:251684864;mso-width-relative:page;mso-height-relative:page;" filled="f" stroked="t" coordsize="21600,21600" o:gfxdata="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WAAAA&#10;ZHJzL1BLAQIUABQAAAAIAIdO4kA+x7Nb2QAAAAsBAAAPAAAAAAAAAAEAIAAAADgAAABkcnMvZG93&#10;bnJldi54bWxQSwECFAAUAAAACACHTuJAAUYFf+kBAAC6AwAADgAAAAAAAAABACAAAAA+AQAAZHJz&#10;L2Uyb0RvYy54bWxQSwUGAAAAAAYABgBZAQAAmQUAAAAA&#10;">
                <v:fill on="f" focussize="0,0"/>
                <v:stroke weight="1pt" color="#000000 [3204]" miterlimit="8" joinstyle="miter"/>
                <v:imagedata o:title=""/>
                <o:lock v:ext="edit" aspectratio="f"/>
              </v:line>
            </w:pict>
          </mc:Fallback>
        </mc:AlternateContent>
      </w:r>
      <w:r>
        <mc:AlternateContent>
          <mc:Choice Requires="wpg">
            <w:drawing>
              <wp:anchor distT="0" distB="0" distL="114300" distR="114300" simplePos="0" relativeHeight="251683840" behindDoc="0" locked="0" layoutInCell="1" allowOverlap="1">
                <wp:simplePos x="0" y="0"/>
                <wp:positionH relativeFrom="column">
                  <wp:posOffset>5935345</wp:posOffset>
                </wp:positionH>
                <wp:positionV relativeFrom="paragraph">
                  <wp:posOffset>3983355</wp:posOffset>
                </wp:positionV>
                <wp:extent cx="1375410" cy="703580"/>
                <wp:effectExtent l="0" t="0" r="15240" b="20320"/>
                <wp:wrapNone/>
                <wp:docPr id="1364293734" name="组合 80"/>
                <wp:cNvGraphicFramePr/>
                <a:graphic xmlns:a="http://schemas.openxmlformats.org/drawingml/2006/main">
                  <a:graphicData uri="http://schemas.microsoft.com/office/word/2010/wordprocessingGroup">
                    <wpg:wgp>
                      <wpg:cNvGrpSpPr/>
                      <wpg:grpSpPr>
                        <a:xfrm>
                          <a:off x="0" y="0"/>
                          <a:ext cx="1375646" cy="703580"/>
                          <a:chOff x="0" y="0"/>
                          <a:chExt cx="1375646" cy="703580"/>
                        </a:xfrm>
                      </wpg:grpSpPr>
                      <wps:wsp>
                        <wps:cNvPr id="993767490" name="文本框 993767490"/>
                        <wps:cNvSpPr txBox="1"/>
                        <wps:spPr>
                          <a:xfrm>
                            <a:off x="0" y="0"/>
                            <a:ext cx="1375646" cy="703580"/>
                          </a:xfrm>
                          <a:prstGeom prst="rect">
                            <a:avLst/>
                          </a:prstGeom>
                          <a:noFill/>
                          <a:ln w="6350">
                            <a:solidFill>
                              <a:prstClr val="black"/>
                            </a:solidFill>
                          </a:ln>
                        </wps:spPr>
                        <wps:txbx>
                          <w:txbxContent>
                            <w:p>
                              <w:pPr>
                                <w:jc w:val="center"/>
                              </w:pPr>
                              <w:r>
                                <w:rPr>
                                  <w:rFonts w:hint="eastAsia"/>
                                </w:rPr>
                                <w:t>图例</w:t>
                              </w:r>
                            </w:p>
                            <w:p>
                              <w:pPr>
                                <w:spacing w:line="276" w:lineRule="auto"/>
                              </w:pPr>
                              <w:r>
                                <w:rPr>
                                  <w:rFonts w:hint="eastAsia"/>
                                </w:rPr>
                                <w:t>重点防渗区</w:t>
                              </w:r>
                            </w:p>
                            <w:p>
                              <w:r>
                                <w:rPr>
                                  <w:rFonts w:hint="eastAsia"/>
                                </w:rPr>
                                <w:t>一般防渗区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99834221" name="任意多边形: 形状 39"/>
                        <wps:cNvSpPr/>
                        <wps:spPr>
                          <a:xfrm>
                            <a:off x="953547" y="250162"/>
                            <a:ext cx="288447" cy="148163"/>
                          </a:xfrm>
                          <a:custGeom>
                            <a:avLst/>
                            <a:gdLst>
                              <a:gd name="connsiteX0" fmla="*/ 8092 w 493614"/>
                              <a:gd name="connsiteY0" fmla="*/ 0 h 833479"/>
                              <a:gd name="connsiteX1" fmla="*/ 0 w 493614"/>
                              <a:gd name="connsiteY1" fmla="*/ 833479 h 833479"/>
                              <a:gd name="connsiteX2" fmla="*/ 493614 w 493614"/>
                              <a:gd name="connsiteY2" fmla="*/ 833479 h 833479"/>
                              <a:gd name="connsiteX3" fmla="*/ 493614 w 493614"/>
                              <a:gd name="connsiteY3" fmla="*/ 8092 h 833479"/>
                              <a:gd name="connsiteX4" fmla="*/ 8092 w 493614"/>
                              <a:gd name="connsiteY4" fmla="*/ 0 h 83347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93614" h="833479">
                                <a:moveTo>
                                  <a:pt x="8092" y="0"/>
                                </a:moveTo>
                                <a:cubicBezTo>
                                  <a:pt x="5395" y="277826"/>
                                  <a:pt x="2697" y="555653"/>
                                  <a:pt x="0" y="833479"/>
                                </a:cubicBezTo>
                                <a:lnTo>
                                  <a:pt x="493614" y="833479"/>
                                </a:lnTo>
                                <a:lnTo>
                                  <a:pt x="493614" y="8092"/>
                                </a:lnTo>
                                <a:lnTo>
                                  <a:pt x="8092" y="0"/>
                                </a:lnTo>
                                <a:close/>
                              </a:path>
                            </a:pathLst>
                          </a:custGeom>
                          <a:solidFill>
                            <a:srgbClr val="FF0000">
                              <a:alpha val="69804"/>
                            </a:srgbClr>
                          </a:solidFill>
                          <a:ln>
                            <a:solidFill>
                              <a:srgbClr val="172C51">
                                <a:alpha val="69804"/>
                              </a:srgb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1263303" name="任意多边形: 形状 39"/>
                        <wps:cNvSpPr/>
                        <wps:spPr>
                          <a:xfrm>
                            <a:off x="953547" y="466202"/>
                            <a:ext cx="288447" cy="148163"/>
                          </a:xfrm>
                          <a:custGeom>
                            <a:avLst/>
                            <a:gdLst>
                              <a:gd name="connsiteX0" fmla="*/ 8092 w 493614"/>
                              <a:gd name="connsiteY0" fmla="*/ 0 h 833479"/>
                              <a:gd name="connsiteX1" fmla="*/ 0 w 493614"/>
                              <a:gd name="connsiteY1" fmla="*/ 833479 h 833479"/>
                              <a:gd name="connsiteX2" fmla="*/ 493614 w 493614"/>
                              <a:gd name="connsiteY2" fmla="*/ 833479 h 833479"/>
                              <a:gd name="connsiteX3" fmla="*/ 493614 w 493614"/>
                              <a:gd name="connsiteY3" fmla="*/ 8092 h 833479"/>
                              <a:gd name="connsiteX4" fmla="*/ 8092 w 493614"/>
                              <a:gd name="connsiteY4" fmla="*/ 0 h 83347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93614" h="833479">
                                <a:moveTo>
                                  <a:pt x="8092" y="0"/>
                                </a:moveTo>
                                <a:cubicBezTo>
                                  <a:pt x="5395" y="277826"/>
                                  <a:pt x="2697" y="555653"/>
                                  <a:pt x="0" y="833479"/>
                                </a:cubicBezTo>
                                <a:lnTo>
                                  <a:pt x="493614" y="833479"/>
                                </a:lnTo>
                                <a:lnTo>
                                  <a:pt x="493614" y="8092"/>
                                </a:lnTo>
                                <a:lnTo>
                                  <a:pt x="8092" y="0"/>
                                </a:lnTo>
                                <a:close/>
                              </a:path>
                            </a:pathLst>
                          </a:custGeom>
                          <a:solidFill>
                            <a:schemeClr val="accent2">
                              <a:alpha val="69804"/>
                            </a:schemeClr>
                          </a:solidFill>
                          <a:ln>
                            <a:solidFill>
                              <a:srgbClr val="172C51">
                                <a:alpha val="69804"/>
                              </a:srgb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组合 80" o:spid="_x0000_s1026" o:spt="203" style="position:absolute;left:0pt;margin-left:467.35pt;margin-top:313.65pt;height:55.4pt;width:108.3pt;z-index:251683840;mso-width-relative:page;mso-height-relative:page;" coordsize="1375646,703580" o:gfxdata="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">
                <o:lock v:ext="edit" aspectratio="f"/>
                <v:shape id="_x0000_s1026" o:spid="_x0000_s1026" o:spt="202" type="#_x0000_t202" style="position:absolute;left:0;top:0;height:703580;width:1375646;" filled="f" stroked="t" coordsize="21600,21600" o:gfxdata="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">
                  <v:fill on="f" focussize="0,0"/>
                  <v:stroke weight="0.5pt" color="#000000" joinstyle="round"/>
                  <v:imagedata o:title=""/>
                  <o:lock v:ext="edit" aspectratio="f"/>
                  <v:textbox>
                    <w:txbxContent>
                      <w:p>
                        <w:pPr>
                          <w:jc w:val="center"/>
                        </w:pPr>
                        <w:r>
                          <w:rPr>
                            <w:rFonts w:hint="eastAsia"/>
                          </w:rPr>
                          <w:t>图例</w:t>
                        </w:r>
                      </w:p>
                      <w:p>
                        <w:pPr>
                          <w:spacing w:line="276" w:lineRule="auto"/>
                        </w:pPr>
                        <w:r>
                          <w:rPr>
                            <w:rFonts w:hint="eastAsia"/>
                          </w:rPr>
                          <w:t>重点防渗区</w:t>
                        </w:r>
                      </w:p>
                      <w:p>
                        <w:r>
                          <w:rPr>
                            <w:rFonts w:hint="eastAsia"/>
                          </w:rPr>
                          <w:t>一般防渗区</w:t>
                        </w:r>
                      </w:p>
                    </w:txbxContent>
                  </v:textbox>
                </v:shape>
                <v:shape id="任意多边形: 形状 39" o:spid="_x0000_s1026" o:spt="100" style="position:absolute;left:953547;top:250162;height:148163;width:288447;v-text-anchor:middle;" fillcolor="#FF0000" filled="t" stroked="t" coordsize="493614,833479" o:gfxdata="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" path="m8092,0c5395,277826,2697,555653,0,833479l493614,833479,493614,8092,8092,0xe">
                  <v:path o:connectlocs="4728,0;0,148163;288447,148163;288447,1438;4728,0" o:connectangles="0,0,0,0,0"/>
                  <v:fill on="t" opacity="45746f" focussize="0,0"/>
                  <v:stroke weight="1pt" color="#172C51 [3204]" opacity="45746f" miterlimit="8" joinstyle="miter"/>
                  <v:imagedata o:title=""/>
                  <o:lock v:ext="edit" aspectratio="f"/>
                </v:shape>
                <v:shape id="任意多边形: 形状 39" o:spid="_x0000_s1026" o:spt="100" style="position:absolute;left:953547;top:466202;height:148163;width:288447;v-text-anchor:middle;" fillcolor="#ED7D31 [3205]" filled="t" stroked="t" coordsize="493614,833479" o:gfxdata="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" path="m8092,0c5395,277826,2697,555653,0,833479l493614,833479,493614,8092,8092,0xe">
                  <v:path o:connectlocs="4728,0;0,148163;288447,148163;288447,1438;4728,0" o:connectangles="0,0,0,0,0"/>
                  <v:fill on="t" opacity="45746f" focussize="0,0"/>
                  <v:stroke weight="1pt" color="#172C51 [3204]" opacity="45746f" miterlimit="8" joinstyle="miter"/>
                  <v:imagedata o:title=""/>
                  <o:lock v:ext="edit" aspectratio="f"/>
                </v:shape>
              </v:group>
            </w:pict>
          </mc:Fallback>
        </mc:AlternateContent>
      </w:r>
      <w:r>
        <w:drawing>
          <wp:anchor distT="0" distB="0" distL="114300" distR="114300" simplePos="0" relativeHeight="251682816" behindDoc="0" locked="0" layoutInCell="1" allowOverlap="1">
            <wp:simplePos x="0" y="0"/>
            <wp:positionH relativeFrom="column">
              <wp:posOffset>7417435</wp:posOffset>
            </wp:positionH>
            <wp:positionV relativeFrom="paragraph">
              <wp:posOffset>168275</wp:posOffset>
            </wp:positionV>
            <wp:extent cx="598805" cy="683895"/>
            <wp:effectExtent l="0" t="0" r="0" b="1905"/>
            <wp:wrapNone/>
            <wp:docPr id="4860804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80402" name="图片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00180" cy="685244"/>
                    </a:xfrm>
                    <a:prstGeom prst="rect">
                      <a:avLst/>
                    </a:prstGeom>
                  </pic:spPr>
                </pic:pic>
              </a:graphicData>
            </a:graphic>
          </wp:anchor>
        </w:drawing>
      </w:r>
      <w:r>
        <w:drawing>
          <wp:inline distT="0" distB="0" distL="0" distR="0">
            <wp:extent cx="6670675" cy="4902835"/>
            <wp:effectExtent l="0" t="0" r="0" b="0"/>
            <wp:docPr id="10917628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762888" name="图片 1"/>
                    <pic:cNvPicPr>
                      <a:picLocks noChangeAspect="1"/>
                    </pic:cNvPicPr>
                  </pic:nvPicPr>
                  <pic:blipFill>
                    <a:blip r:embed="rId39"/>
                    <a:stretch>
                      <a:fillRect/>
                    </a:stretch>
                  </pic:blipFill>
                  <pic:spPr>
                    <a:xfrm>
                      <a:off x="0" y="0"/>
                      <a:ext cx="6674463" cy="4905589"/>
                    </a:xfrm>
                    <a:prstGeom prst="rect">
                      <a:avLst/>
                    </a:prstGeom>
                  </pic:spPr>
                </pic:pic>
              </a:graphicData>
            </a:graphic>
          </wp:inline>
        </w:drawing>
      </w:r>
      <w:r>
        <w:rPr>
          <w:snapToGrid w:val="0"/>
        </w:rPr>
        <w:br w:type="page"/>
      </w:r>
    </w:p>
    <w:p>
      <w:pPr>
        <w:pStyle w:val="15"/>
        <w:adjustRightInd w:val="0"/>
        <w:snapToGrid w:val="0"/>
        <w:spacing w:before="0" w:beforeAutospacing="0" w:after="0" w:afterAutospacing="0"/>
        <w:outlineLvl w:val="1"/>
        <w:rPr>
          <w:rFonts w:ascii="Times New Roman" w:hAnsi="Times New Roman"/>
          <w:snapToGrid w:val="0"/>
          <w:szCs w:val="24"/>
        </w:rPr>
      </w:pPr>
      <w:bookmarkStart w:id="34" w:name="_Toc210915813"/>
      <w:r>
        <w:drawing>
          <wp:anchor distT="0" distB="0" distL="114300" distR="114300" simplePos="0" relativeHeight="251668480" behindDoc="0" locked="0" layoutInCell="1" allowOverlap="1">
            <wp:simplePos x="0" y="0"/>
            <wp:positionH relativeFrom="column">
              <wp:posOffset>7920990</wp:posOffset>
            </wp:positionH>
            <wp:positionV relativeFrom="paragraph">
              <wp:posOffset>199390</wp:posOffset>
            </wp:positionV>
            <wp:extent cx="609600" cy="695960"/>
            <wp:effectExtent l="0" t="0" r="0" b="8890"/>
            <wp:wrapNone/>
            <wp:docPr id="8770313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031329" name="图片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11238" cy="697870"/>
                    </a:xfrm>
                    <a:prstGeom prst="rect">
                      <a:avLst/>
                    </a:prstGeom>
                  </pic:spPr>
                </pic:pic>
              </a:graphicData>
            </a:graphic>
          </wp:anchor>
        </w:drawing>
      </w:r>
      <w:r>
        <w:rPr>
          <w:rFonts w:ascii="Times New Roman" w:hAnsi="Times New Roman"/>
          <w:snapToGrid w:val="0"/>
          <w:szCs w:val="24"/>
        </w:rPr>
        <w:t>附图</w:t>
      </w:r>
      <w:r>
        <w:rPr>
          <w:rFonts w:hint="eastAsia" w:ascii="Times New Roman" w:hAnsi="Times New Roman"/>
          <w:snapToGrid w:val="0"/>
          <w:szCs w:val="24"/>
        </w:rPr>
        <w:t>5</w:t>
      </w:r>
      <w:r>
        <w:rPr>
          <w:rFonts w:ascii="Times New Roman" w:hAnsi="Times New Roman"/>
          <w:snapToGrid w:val="0"/>
          <w:szCs w:val="24"/>
        </w:rPr>
        <w:t xml:space="preserve"> </w:t>
      </w:r>
      <w:r>
        <w:rPr>
          <w:rFonts w:hint="eastAsia" w:ascii="Times New Roman" w:hAnsi="Times New Roman"/>
          <w:snapToGrid w:val="0"/>
          <w:szCs w:val="24"/>
        </w:rPr>
        <w:t>环境敏感目标分布图</w:t>
      </w:r>
      <w:bookmarkEnd w:id="34"/>
    </w:p>
    <w:p>
      <w:pPr>
        <w:pStyle w:val="15"/>
        <w:adjustRightInd w:val="0"/>
        <w:snapToGrid w:val="0"/>
        <w:spacing w:before="0" w:beforeAutospacing="0" w:after="0" w:afterAutospacing="0"/>
        <w:rPr>
          <w:rFonts w:ascii="Times New Roman" w:hAnsi="Times New Roman"/>
          <w:snapToGrid w:val="0"/>
          <w:szCs w:val="24"/>
        </w:rPr>
      </w:pPr>
      <w:r>
        <w:drawing>
          <wp:anchor distT="0" distB="0" distL="114300" distR="114300" simplePos="0" relativeHeight="251663360" behindDoc="0" locked="0" layoutInCell="1" allowOverlap="1">
            <wp:simplePos x="0" y="0"/>
            <wp:positionH relativeFrom="margin">
              <wp:align>right</wp:align>
            </wp:positionH>
            <wp:positionV relativeFrom="paragraph">
              <wp:posOffset>3961765</wp:posOffset>
            </wp:positionV>
            <wp:extent cx="1771650" cy="1076325"/>
            <wp:effectExtent l="19050" t="19050" r="19050" b="28575"/>
            <wp:wrapNone/>
            <wp:docPr id="3512393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39349" name="图片 1"/>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1771650" cy="1076325"/>
                    </a:xfrm>
                    <a:prstGeom prst="rect">
                      <a:avLst/>
                    </a:prstGeom>
                    <a:ln>
                      <a:solidFill>
                        <a:schemeClr val="tx1"/>
                      </a:solidFill>
                    </a:ln>
                  </pic:spPr>
                </pic:pic>
              </a:graphicData>
            </a:graphic>
          </wp:anchor>
        </w:drawing>
      </w:r>
      <w:r>
        <w:t xml:space="preserve"> </w:t>
      </w:r>
      <w:r>
        <w:drawing>
          <wp:inline distT="0" distB="0" distL="0" distR="0">
            <wp:extent cx="8431530" cy="5036185"/>
            <wp:effectExtent l="0" t="0" r="7620" b="0"/>
            <wp:docPr id="15087242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724232" name="图片 1"/>
                    <pic:cNvPicPr>
                      <a:picLocks noChangeAspect="1"/>
                    </pic:cNvPicPr>
                  </pic:nvPicPr>
                  <pic:blipFill>
                    <a:blip r:embed="rId41"/>
                    <a:stretch>
                      <a:fillRect/>
                    </a:stretch>
                  </pic:blipFill>
                  <pic:spPr>
                    <a:xfrm>
                      <a:off x="0" y="0"/>
                      <a:ext cx="8440509" cy="5041314"/>
                    </a:xfrm>
                    <a:prstGeom prst="rect">
                      <a:avLst/>
                    </a:prstGeom>
                  </pic:spPr>
                </pic:pic>
              </a:graphicData>
            </a:graphic>
          </wp:inline>
        </w:drawing>
      </w:r>
    </w:p>
    <w:p>
      <w:pPr>
        <w:widowControl/>
        <w:jc w:val="left"/>
        <w:rPr>
          <w:snapToGrid w:val="0"/>
          <w:kern w:val="0"/>
          <w:sz w:val="24"/>
        </w:rPr>
      </w:pPr>
      <w:r>
        <w:rPr>
          <w:snapToGrid w:val="0"/>
        </w:rPr>
        <w:br w:type="page"/>
      </w:r>
    </w:p>
    <w:p>
      <w:pPr>
        <w:pStyle w:val="46"/>
        <w:spacing w:line="240" w:lineRule="auto"/>
        <w:rPr>
          <w:rFonts w:eastAsia="宋体" w:cs="Times New Roman"/>
          <w:snapToGrid w:val="0"/>
        </w:rPr>
      </w:pPr>
      <w:r>
        <w:rPr>
          <w:rFonts w:eastAsia="宋体" w:cs="Times New Roman"/>
        </w:rPr>
        <mc:AlternateContent>
          <mc:Choice Requires="wps">
            <w:drawing>
              <wp:anchor distT="0" distB="0" distL="114300" distR="114300" simplePos="0" relativeHeight="251662336" behindDoc="0" locked="0" layoutInCell="1" allowOverlap="1">
                <wp:simplePos x="0" y="0"/>
                <wp:positionH relativeFrom="column">
                  <wp:posOffset>4446905</wp:posOffset>
                </wp:positionH>
                <wp:positionV relativeFrom="paragraph">
                  <wp:posOffset>7355205</wp:posOffset>
                </wp:positionV>
                <wp:extent cx="1113155" cy="413385"/>
                <wp:effectExtent l="133350" t="0" r="10795" b="215265"/>
                <wp:wrapNone/>
                <wp:docPr id="34" name="对话气泡: 椭圆形 34"/>
                <wp:cNvGraphicFramePr/>
                <a:graphic xmlns:a="http://schemas.openxmlformats.org/drawingml/2006/main">
                  <a:graphicData uri="http://schemas.microsoft.com/office/word/2010/wordprocessingShape">
                    <wps:wsp>
                      <wps:cNvSpPr/>
                      <wps:spPr>
                        <a:xfrm>
                          <a:off x="0" y="0"/>
                          <a:ext cx="1113155" cy="413385"/>
                        </a:xfrm>
                        <a:prstGeom prst="wedgeEllipseCallout">
                          <a:avLst>
                            <a:gd name="adj1" fmla="val -57194"/>
                            <a:gd name="adj2" fmla="val 87383"/>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仿宋" w:hAnsi="仿宋" w:eastAsia="仿宋"/>
                                <w:b/>
                                <w:bCs/>
                                <w:color w:val="FF0000"/>
                                <w:sz w:val="18"/>
                                <w:szCs w:val="18"/>
                              </w:rPr>
                            </w:pPr>
                            <w:r>
                              <w:rPr>
                                <w:rFonts w:hint="eastAsia" w:ascii="仿宋" w:hAnsi="仿宋" w:eastAsia="仿宋"/>
                                <w:b/>
                                <w:bCs/>
                                <w:color w:val="FF0000"/>
                                <w:sz w:val="18"/>
                                <w:szCs w:val="18"/>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椭圆形 34" o:spid="_x0000_s1026" o:spt="63" type="#_x0000_t63" style="position:absolute;left:0pt;margin-left:350.15pt;margin-top:579.15pt;height:32.55pt;width:87.65pt;z-index:251662336;v-text-anchor:middle;mso-width-relative:page;mso-height-relative:page;" filled="f" stroked="t" coordsize="21600,21600" o:gfxdata="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" adj="-1554,29675">
                <v:fill on="f" focussize="0,0"/>
                <v:stroke weight="0.5pt" color="#FF0000 [3204]" miterlimit="8" joinstyle="miter"/>
                <v:imagedata o:title=""/>
                <o:lock v:ext="edit" aspectratio="f"/>
                <v:textbox>
                  <w:txbxContent>
                    <w:p>
                      <w:pPr>
                        <w:jc w:val="center"/>
                        <w:rPr>
                          <w:rFonts w:hint="eastAsia" w:ascii="仿宋" w:hAnsi="仿宋" w:eastAsia="仿宋"/>
                          <w:b/>
                          <w:bCs/>
                          <w:color w:val="FF0000"/>
                          <w:sz w:val="18"/>
                          <w:szCs w:val="18"/>
                        </w:rPr>
                      </w:pPr>
                      <w:r>
                        <w:rPr>
                          <w:rFonts w:hint="eastAsia" w:ascii="仿宋" w:hAnsi="仿宋" w:eastAsia="仿宋"/>
                          <w:b/>
                          <w:bCs/>
                          <w:color w:val="FF0000"/>
                          <w:sz w:val="18"/>
                          <w:szCs w:val="18"/>
                        </w:rPr>
                        <w:t>本项目位置</w:t>
                      </w:r>
                    </w:p>
                  </w:txbxContent>
                </v:textbox>
              </v:shape>
            </w:pict>
          </mc:Fallback>
        </mc:AlternateContent>
      </w:r>
      <w:r>
        <w:rPr>
          <w:rFonts w:eastAsia="宋体" w:cs="Times New Roman"/>
        </w:rPr>
        <mc:AlternateContent>
          <mc:Choice Requires="wps">
            <w:drawing>
              <wp:anchor distT="0" distB="0" distL="114300" distR="114300" simplePos="0" relativeHeight="251661312" behindDoc="0" locked="0" layoutInCell="1" allowOverlap="1">
                <wp:simplePos x="0" y="0"/>
                <wp:positionH relativeFrom="margin">
                  <wp:posOffset>4801870</wp:posOffset>
                </wp:positionH>
                <wp:positionV relativeFrom="paragraph">
                  <wp:posOffset>7802245</wp:posOffset>
                </wp:positionV>
                <wp:extent cx="906145" cy="421640"/>
                <wp:effectExtent l="0" t="0" r="0" b="0"/>
                <wp:wrapNone/>
                <wp:docPr id="31" name="矩形 31"/>
                <wp:cNvGraphicFramePr/>
                <a:graphic xmlns:a="http://schemas.openxmlformats.org/drawingml/2006/main">
                  <a:graphicData uri="http://schemas.microsoft.com/office/word/2010/wordprocessingShape">
                    <wps:wsp>
                      <wps:cNvSpPr/>
                      <wps:spPr>
                        <a:xfrm>
                          <a:off x="0" y="0"/>
                          <a:ext cx="906449" cy="42141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仿宋" w:hAnsi="仿宋" w:eastAsia="仿宋"/>
                                <w:color w:val="000000" w:themeColor="text1"/>
                                <w:sz w:val="18"/>
                                <w:szCs w:val="18"/>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ascii="仿宋" w:hAnsi="仿宋" w:eastAsia="仿宋"/>
                                <w:color w:val="000000" w:themeColor="text1"/>
                                <w:sz w:val="18"/>
                                <w:szCs w:val="18"/>
                                <w14:shadow w14:blurRad="38100" w14:dist="19050" w14:dir="2700000" w14:sx="100000" w14:sy="100000" w14:kx="0" w14:ky="0" w14:algn="tl">
                                  <w14:schemeClr w14:val="dk1">
                                    <w14:alpha w14:val="60000"/>
                                  </w14:schemeClr>
                                </w14:shadow>
                                <w14:textFill>
                                  <w14:solidFill>
                                    <w14:schemeClr w14:val="tx1"/>
                                  </w14:solidFill>
                                </w14:textFill>
                              </w:rPr>
                              <w:t>局部放大显示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8.1pt;margin-top:614.35pt;height:33.2pt;width:71.35pt;mso-position-horizontal-relative:margin;z-index:251661312;v-text-anchor:middle;mso-width-relative:page;mso-height-relative:page;" filled="f" stroked="f" coordsize="21600,21600" o:gfxdata="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&#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WAAAAZHJzL1BLAQIUABQAAAAIAIdO4kB0Q6rD2gAAAA0BAAAPAAAAAAAAAAEAIAAAADgAAABk&#10;cnMvZG93bnJldi54bWxQSwECFAAUAAAACACHTuJAtc10QmACAACuBAAADgAAAAAAAAABACAAAAA/&#10;AQAAZHJzL2Uyb0RvYy54bWxQSwUGAAAAAAYABgBZAQAAEQYAAAAA&#10;">
                <v:fill on="f" focussize="0,0"/>
                <v:stroke on="f" weight="1pt" miterlimit="8" joinstyle="miter"/>
                <v:imagedata o:title=""/>
                <o:lock v:ext="edit" aspectratio="f"/>
                <v:textbox>
                  <w:txbxContent>
                    <w:p>
                      <w:pPr>
                        <w:jc w:val="center"/>
                        <w:rPr>
                          <w:rFonts w:hint="eastAsia" w:ascii="仿宋" w:hAnsi="仿宋" w:eastAsia="仿宋"/>
                          <w:color w:val="000000" w:themeColor="text1"/>
                          <w:sz w:val="18"/>
                          <w:szCs w:val="18"/>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ascii="仿宋" w:hAnsi="仿宋" w:eastAsia="仿宋"/>
                          <w:color w:val="000000" w:themeColor="text1"/>
                          <w:sz w:val="18"/>
                          <w:szCs w:val="18"/>
                          <w14:shadow w14:blurRad="38100" w14:dist="19050" w14:dir="2700000" w14:sx="100000" w14:sy="100000" w14:kx="0" w14:ky="0" w14:algn="tl">
                            <w14:schemeClr w14:val="dk1">
                              <w14:alpha w14:val="60000"/>
                            </w14:schemeClr>
                          </w14:shadow>
                          <w14:textFill>
                            <w14:solidFill>
                              <w14:schemeClr w14:val="tx1"/>
                            </w14:solidFill>
                          </w14:textFill>
                        </w:rPr>
                        <w:t>局部放大显示</w:t>
                      </w:r>
                    </w:p>
                  </w:txbxContent>
                </v:textbox>
              </v:rect>
            </w:pict>
          </mc:Fallback>
        </mc:AlternateContent>
      </w:r>
    </w:p>
    <w:p>
      <w:pPr>
        <w:pStyle w:val="15"/>
        <w:adjustRightInd w:val="0"/>
        <w:snapToGrid w:val="0"/>
        <w:spacing w:before="0" w:beforeAutospacing="0" w:after="0" w:afterAutospacing="0"/>
        <w:outlineLvl w:val="0"/>
        <w:rPr>
          <w:rFonts w:ascii="Times New Roman" w:hAnsi="Times New Roman"/>
          <w:snapToGrid w:val="0"/>
          <w:sz w:val="30"/>
          <w:szCs w:val="30"/>
        </w:rPr>
      </w:pPr>
      <w:bookmarkStart w:id="35" w:name="_Toc210915814"/>
      <w:r>
        <w:rPr>
          <w:rFonts w:ascii="Times New Roman" w:hAnsi="Times New Roman"/>
          <w:snapToGrid w:val="0"/>
          <w:sz w:val="30"/>
          <w:szCs w:val="30"/>
        </w:rPr>
        <w:t>附件</w:t>
      </w:r>
      <w:bookmarkEnd w:id="35"/>
    </w:p>
    <w:p>
      <w:pPr>
        <w:pStyle w:val="15"/>
        <w:adjustRightInd w:val="0"/>
        <w:snapToGrid w:val="0"/>
        <w:spacing w:before="0" w:beforeAutospacing="0" w:after="0" w:afterAutospacing="0"/>
        <w:ind w:firstLine="280" w:firstLineChars="100"/>
        <w:outlineLvl w:val="1"/>
        <w:rPr>
          <w:rFonts w:ascii="Times New Roman" w:hAnsi="Times New Roman"/>
          <w:snapToGrid w:val="0"/>
          <w:sz w:val="28"/>
          <w:szCs w:val="28"/>
        </w:rPr>
      </w:pPr>
      <w:bookmarkStart w:id="36" w:name="_Toc210915815"/>
      <w:r>
        <w:rPr>
          <w:rFonts w:ascii="Times New Roman" w:hAnsi="Times New Roman"/>
          <w:snapToGrid w:val="0"/>
          <w:sz w:val="28"/>
          <w:szCs w:val="28"/>
        </w:rPr>
        <w:t>附件1 营业执照</w:t>
      </w:r>
      <w:bookmarkEnd w:id="36"/>
    </w:p>
    <w:p>
      <w:pPr>
        <w:pStyle w:val="46"/>
        <w:spacing w:line="240" w:lineRule="auto"/>
        <w:rPr>
          <w:rFonts w:eastAsia="宋体" w:cs="Times New Roman"/>
          <w:snapToGrid w:val="0"/>
        </w:rPr>
        <w:sectPr>
          <w:pgSz w:w="16838" w:h="11906" w:orient="landscape"/>
          <w:pgMar w:top="1531" w:right="1701" w:bottom="1531" w:left="1701" w:header="851" w:footer="851" w:gutter="0"/>
          <w:cols w:space="720" w:num="1"/>
          <w:docGrid w:linePitch="312" w:charSpace="0"/>
        </w:sectPr>
      </w:pPr>
      <w:r>
        <w:rPr>
          <w:rFonts w:hint="eastAsia"/>
        </w:rPr>
        <w:drawing>
          <wp:inline distT="0" distB="0" distL="114300" distR="114300">
            <wp:extent cx="4878705" cy="6783705"/>
            <wp:effectExtent l="0" t="0" r="0" b="0"/>
            <wp:docPr id="1" name="图片 1" descr="微信图片_2024052915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40529150222"/>
                    <pic:cNvPicPr>
                      <a:picLocks noChangeAspect="1"/>
                    </pic:cNvPicPr>
                  </pic:nvPicPr>
                  <pic:blipFill>
                    <a:blip r:embed="rId42"/>
                    <a:stretch>
                      <a:fillRect/>
                    </a:stretch>
                  </pic:blipFill>
                  <pic:spPr>
                    <a:xfrm rot="16200000">
                      <a:off x="0" y="0"/>
                      <a:ext cx="4881126" cy="6787089"/>
                    </a:xfrm>
                    <a:prstGeom prst="rect">
                      <a:avLst/>
                    </a:prstGeom>
                  </pic:spPr>
                </pic:pic>
              </a:graphicData>
            </a:graphic>
          </wp:inline>
        </w:drawing>
      </w:r>
    </w:p>
    <w:p>
      <w:pPr>
        <w:pStyle w:val="15"/>
        <w:adjustRightInd w:val="0"/>
        <w:snapToGrid w:val="0"/>
        <w:spacing w:before="0" w:beforeAutospacing="0" w:after="0" w:afterAutospacing="0"/>
        <w:outlineLvl w:val="1"/>
        <w:rPr>
          <w:rFonts w:ascii="Times New Roman" w:hAnsi="Times New Roman"/>
          <w:snapToGrid w:val="0"/>
          <w:sz w:val="28"/>
          <w:szCs w:val="28"/>
        </w:rPr>
      </w:pPr>
      <w:bookmarkStart w:id="37" w:name="_Toc210915816"/>
      <w:bookmarkStart w:id="38" w:name="_Hlk132723682"/>
      <w:r>
        <w:rPr>
          <w:rFonts w:hint="eastAsia" w:ascii="Times New Roman" w:hAnsi="Times New Roman"/>
          <w:snapToGrid w:val="0"/>
          <w:sz w:val="28"/>
          <w:szCs w:val="28"/>
        </w:rPr>
        <w:t>附件2</w:t>
      </w:r>
      <w:r>
        <w:rPr>
          <w:rFonts w:ascii="Times New Roman" w:hAnsi="Times New Roman"/>
          <w:snapToGrid w:val="0"/>
          <w:sz w:val="28"/>
          <w:szCs w:val="28"/>
        </w:rPr>
        <w:t xml:space="preserve"> 土地</w:t>
      </w:r>
      <w:r>
        <w:rPr>
          <w:rFonts w:hint="eastAsia" w:ascii="Times New Roman" w:hAnsi="Times New Roman"/>
          <w:snapToGrid w:val="0"/>
          <w:sz w:val="28"/>
          <w:szCs w:val="28"/>
        </w:rPr>
        <w:t>租赁合同</w:t>
      </w:r>
      <w:r>
        <w:rPr>
          <w:rFonts w:hint="eastAsia"/>
        </w:rPr>
        <w:drawing>
          <wp:inline distT="0" distB="0" distL="114300" distR="114300">
            <wp:extent cx="5261610" cy="7369810"/>
            <wp:effectExtent l="0" t="0" r="15240" b="2540"/>
            <wp:docPr id="3" name="图片 3" descr="微信图片_20240813095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40813095444"/>
                    <pic:cNvPicPr>
                      <a:picLocks noChangeAspect="1"/>
                    </pic:cNvPicPr>
                  </pic:nvPicPr>
                  <pic:blipFill>
                    <a:blip r:embed="rId43"/>
                    <a:stretch>
                      <a:fillRect/>
                    </a:stretch>
                  </pic:blipFill>
                  <pic:spPr>
                    <a:xfrm>
                      <a:off x="0" y="0"/>
                      <a:ext cx="5261610" cy="7369810"/>
                    </a:xfrm>
                    <a:prstGeom prst="rect">
                      <a:avLst/>
                    </a:prstGeom>
                  </pic:spPr>
                </pic:pic>
              </a:graphicData>
            </a:graphic>
          </wp:inline>
        </w:drawing>
      </w:r>
      <w:r>
        <w:rPr>
          <w:rFonts w:hint="eastAsia"/>
        </w:rPr>
        <w:drawing>
          <wp:inline distT="0" distB="0" distL="114300" distR="114300">
            <wp:extent cx="5265420" cy="7407910"/>
            <wp:effectExtent l="0" t="0" r="11430" b="2540"/>
            <wp:docPr id="2" name="图片 2" descr="微信图片_20240813095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40813095449"/>
                    <pic:cNvPicPr>
                      <a:picLocks noChangeAspect="1"/>
                    </pic:cNvPicPr>
                  </pic:nvPicPr>
                  <pic:blipFill>
                    <a:blip r:embed="rId44"/>
                    <a:stretch>
                      <a:fillRect/>
                    </a:stretch>
                  </pic:blipFill>
                  <pic:spPr>
                    <a:xfrm>
                      <a:off x="0" y="0"/>
                      <a:ext cx="5265420" cy="7407910"/>
                    </a:xfrm>
                    <a:prstGeom prst="rect">
                      <a:avLst/>
                    </a:prstGeom>
                  </pic:spPr>
                </pic:pic>
              </a:graphicData>
            </a:graphic>
          </wp:inline>
        </w:drawing>
      </w:r>
      <w:bookmarkEnd w:id="37"/>
    </w:p>
    <w:p>
      <w:pPr>
        <w:widowControl/>
        <w:jc w:val="left"/>
        <w:rPr>
          <w:snapToGrid w:val="0"/>
          <w:sz w:val="28"/>
          <w:szCs w:val="28"/>
        </w:rPr>
        <w:sectPr>
          <w:pgSz w:w="11906" w:h="16838"/>
          <w:pgMar w:top="1701" w:right="1531" w:bottom="1701" w:left="1531" w:header="851" w:footer="851" w:gutter="0"/>
          <w:cols w:space="720" w:num="1"/>
          <w:docGrid w:linePitch="312" w:charSpace="0"/>
        </w:sectPr>
      </w:pPr>
      <w:r>
        <w:rPr>
          <w:snapToGrid w:val="0"/>
          <w:sz w:val="28"/>
          <w:szCs w:val="28"/>
        </w:rPr>
        <w:br w:type="page"/>
      </w:r>
    </w:p>
    <w:p>
      <w:pPr>
        <w:pStyle w:val="15"/>
        <w:adjustRightInd w:val="0"/>
        <w:snapToGrid w:val="0"/>
        <w:spacing w:before="0" w:beforeAutospacing="0" w:after="0" w:afterAutospacing="0"/>
        <w:outlineLvl w:val="1"/>
        <w:rPr>
          <w:rFonts w:ascii="Times New Roman" w:hAnsi="Times New Roman"/>
          <w:snapToGrid w:val="0"/>
          <w:szCs w:val="24"/>
        </w:rPr>
      </w:pPr>
      <w:bookmarkStart w:id="39" w:name="_Toc210915817"/>
      <w:r>
        <w:rPr>
          <w:rFonts w:hint="eastAsia" w:ascii="Times New Roman" w:hAnsi="Times New Roman"/>
          <w:snapToGrid w:val="0"/>
          <w:szCs w:val="24"/>
        </w:rPr>
        <w:t>附件3 项目选址规划情况的说明</w:t>
      </w:r>
      <w:bookmarkEnd w:id="39"/>
    </w:p>
    <w:p>
      <w:pPr>
        <w:pStyle w:val="15"/>
        <w:adjustRightInd w:val="0"/>
        <w:snapToGrid w:val="0"/>
        <w:jc w:val="center"/>
        <w:rPr>
          <w:rFonts w:ascii="Times New Roman" w:hAnsi="Times New Roman"/>
          <w:snapToGrid w:val="0"/>
          <w:sz w:val="28"/>
          <w:szCs w:val="28"/>
        </w:rPr>
      </w:pPr>
      <w:r>
        <w:drawing>
          <wp:inline distT="0" distB="0" distL="0" distR="0">
            <wp:extent cx="5183505" cy="6217920"/>
            <wp:effectExtent l="0" t="0" r="0" b="0"/>
            <wp:docPr id="688912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91233" name="图片 1"/>
                    <pic:cNvPicPr>
                      <a:picLocks noChangeAspect="1"/>
                    </pic:cNvPicPr>
                  </pic:nvPicPr>
                  <pic:blipFill>
                    <a:blip r:embed="rId45"/>
                    <a:stretch>
                      <a:fillRect/>
                    </a:stretch>
                  </pic:blipFill>
                  <pic:spPr>
                    <a:xfrm>
                      <a:off x="0" y="0"/>
                      <a:ext cx="5192689" cy="6228408"/>
                    </a:xfrm>
                    <a:prstGeom prst="rect">
                      <a:avLst/>
                    </a:prstGeom>
                  </pic:spPr>
                </pic:pic>
              </a:graphicData>
            </a:graphic>
          </wp:inline>
        </w:drawing>
      </w:r>
    </w:p>
    <w:p>
      <w:pPr>
        <w:widowControl/>
        <w:jc w:val="left"/>
        <w:rPr>
          <w:snapToGrid w:val="0"/>
          <w:kern w:val="0"/>
          <w:sz w:val="28"/>
          <w:szCs w:val="28"/>
        </w:rPr>
      </w:pPr>
      <w:r>
        <w:rPr>
          <w:snapToGrid w:val="0"/>
          <w:sz w:val="28"/>
          <w:szCs w:val="28"/>
        </w:rPr>
        <w:br w:type="page"/>
      </w:r>
    </w:p>
    <w:p>
      <w:pPr>
        <w:pStyle w:val="15"/>
        <w:adjustRightInd w:val="0"/>
        <w:snapToGrid w:val="0"/>
        <w:spacing w:before="0" w:beforeAutospacing="0" w:after="0" w:afterAutospacing="0"/>
        <w:outlineLvl w:val="1"/>
        <w:rPr>
          <w:rFonts w:ascii="Times New Roman" w:hAnsi="Times New Roman"/>
          <w:snapToGrid w:val="0"/>
          <w:sz w:val="28"/>
          <w:szCs w:val="28"/>
        </w:rPr>
      </w:pPr>
      <w:bookmarkStart w:id="40" w:name="_Toc210915818"/>
      <w:r>
        <w:rPr>
          <w:rFonts w:ascii="Times New Roman" w:hAnsi="Times New Roman"/>
          <w:snapToGrid w:val="0"/>
          <w:sz w:val="28"/>
          <w:szCs w:val="28"/>
        </w:rPr>
        <w:t>附件</w:t>
      </w:r>
      <w:r>
        <w:rPr>
          <w:rFonts w:hint="eastAsia" w:ascii="Times New Roman" w:hAnsi="Times New Roman"/>
          <w:snapToGrid w:val="0"/>
          <w:sz w:val="28"/>
          <w:szCs w:val="28"/>
        </w:rPr>
        <w:t>4</w:t>
      </w:r>
      <w:r>
        <w:rPr>
          <w:rFonts w:ascii="Times New Roman" w:hAnsi="Times New Roman"/>
          <w:snapToGrid w:val="0"/>
          <w:sz w:val="28"/>
          <w:szCs w:val="28"/>
        </w:rPr>
        <w:t xml:space="preserve"> </w:t>
      </w:r>
      <w:r>
        <w:rPr>
          <w:rFonts w:hint="eastAsia" w:ascii="Times New Roman" w:hAnsi="Times New Roman"/>
          <w:snapToGrid w:val="0"/>
          <w:sz w:val="28"/>
          <w:szCs w:val="28"/>
        </w:rPr>
        <w:t>现状监测报告</w:t>
      </w:r>
      <w:bookmarkEnd w:id="40"/>
    </w:p>
    <w:p>
      <w:pPr>
        <w:pStyle w:val="15"/>
        <w:adjustRightInd w:val="0"/>
        <w:snapToGrid w:val="0"/>
        <w:spacing w:before="0" w:beforeAutospacing="0" w:after="0" w:afterAutospacing="0"/>
        <w:jc w:val="center"/>
        <w:rPr>
          <w:rFonts w:ascii="Times New Roman" w:hAnsi="Times New Roman"/>
          <w:snapToGrid w:val="0"/>
          <w:sz w:val="28"/>
          <w:szCs w:val="28"/>
        </w:rPr>
      </w:pPr>
      <w:r>
        <w:drawing>
          <wp:inline distT="0" distB="0" distL="0" distR="0">
            <wp:extent cx="5494655" cy="7637780"/>
            <wp:effectExtent l="0" t="0" r="0" b="1270"/>
            <wp:docPr id="9648908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890877" name="图片 1"/>
                    <pic:cNvPicPr>
                      <a:picLocks noChangeAspect="1"/>
                    </pic:cNvPicPr>
                  </pic:nvPicPr>
                  <pic:blipFill>
                    <a:blip r:embed="rId46"/>
                    <a:stretch>
                      <a:fillRect/>
                    </a:stretch>
                  </pic:blipFill>
                  <pic:spPr>
                    <a:xfrm>
                      <a:off x="0" y="0"/>
                      <a:ext cx="5495238" cy="7638095"/>
                    </a:xfrm>
                    <a:prstGeom prst="rect">
                      <a:avLst/>
                    </a:prstGeom>
                  </pic:spPr>
                </pic:pic>
              </a:graphicData>
            </a:graphic>
          </wp:inline>
        </w:drawing>
      </w:r>
    </w:p>
    <w:p>
      <w:pPr>
        <w:pStyle w:val="15"/>
        <w:adjustRightInd w:val="0"/>
        <w:snapToGrid w:val="0"/>
        <w:spacing w:before="0" w:beforeAutospacing="0" w:after="0" w:afterAutospacing="0"/>
        <w:jc w:val="center"/>
        <w:rPr>
          <w:rFonts w:ascii="Times New Roman" w:hAnsi="Times New Roman"/>
          <w:snapToGrid w:val="0"/>
          <w:sz w:val="28"/>
          <w:szCs w:val="28"/>
        </w:rPr>
      </w:pPr>
      <w:r>
        <w:drawing>
          <wp:inline distT="0" distB="0" distL="0" distR="0">
            <wp:extent cx="5615940" cy="7767955"/>
            <wp:effectExtent l="0" t="0" r="3810" b="4445"/>
            <wp:docPr id="5766925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92569" name="图片 1"/>
                    <pic:cNvPicPr>
                      <a:picLocks noChangeAspect="1"/>
                    </pic:cNvPicPr>
                  </pic:nvPicPr>
                  <pic:blipFill>
                    <a:blip r:embed="rId47"/>
                    <a:stretch>
                      <a:fillRect/>
                    </a:stretch>
                  </pic:blipFill>
                  <pic:spPr>
                    <a:xfrm>
                      <a:off x="0" y="0"/>
                      <a:ext cx="5615940" cy="7767955"/>
                    </a:xfrm>
                    <a:prstGeom prst="rect">
                      <a:avLst/>
                    </a:prstGeom>
                  </pic:spPr>
                </pic:pic>
              </a:graphicData>
            </a:graphic>
          </wp:inline>
        </w:drawing>
      </w:r>
      <w:r>
        <w:drawing>
          <wp:inline distT="0" distB="0" distL="0" distR="0">
            <wp:extent cx="5615940" cy="7400925"/>
            <wp:effectExtent l="0" t="0" r="3810" b="9525"/>
            <wp:docPr id="560542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542630" name="图片 1"/>
                    <pic:cNvPicPr>
                      <a:picLocks noChangeAspect="1"/>
                    </pic:cNvPicPr>
                  </pic:nvPicPr>
                  <pic:blipFill>
                    <a:blip r:embed="rId48"/>
                    <a:stretch>
                      <a:fillRect/>
                    </a:stretch>
                  </pic:blipFill>
                  <pic:spPr>
                    <a:xfrm>
                      <a:off x="0" y="0"/>
                      <a:ext cx="5615940" cy="7400925"/>
                    </a:xfrm>
                    <a:prstGeom prst="rect">
                      <a:avLst/>
                    </a:prstGeom>
                  </pic:spPr>
                </pic:pic>
              </a:graphicData>
            </a:graphic>
          </wp:inline>
        </w:drawing>
      </w:r>
      <w:r>
        <w:drawing>
          <wp:inline distT="0" distB="0" distL="0" distR="0">
            <wp:extent cx="5615940" cy="8148320"/>
            <wp:effectExtent l="0" t="0" r="3810" b="5080"/>
            <wp:docPr id="3806109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10986" name="图片 1"/>
                    <pic:cNvPicPr>
                      <a:picLocks noChangeAspect="1"/>
                    </pic:cNvPicPr>
                  </pic:nvPicPr>
                  <pic:blipFill>
                    <a:blip r:embed="rId49"/>
                    <a:stretch>
                      <a:fillRect/>
                    </a:stretch>
                  </pic:blipFill>
                  <pic:spPr>
                    <a:xfrm>
                      <a:off x="0" y="0"/>
                      <a:ext cx="5615940" cy="8148320"/>
                    </a:xfrm>
                    <a:prstGeom prst="rect">
                      <a:avLst/>
                    </a:prstGeom>
                  </pic:spPr>
                </pic:pic>
              </a:graphicData>
            </a:graphic>
          </wp:inline>
        </w:drawing>
      </w:r>
      <w:r>
        <w:drawing>
          <wp:inline distT="0" distB="0" distL="0" distR="0">
            <wp:extent cx="5294630" cy="7990205"/>
            <wp:effectExtent l="0" t="0" r="1270" b="0"/>
            <wp:docPr id="21069263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926378" name="图片 1"/>
                    <pic:cNvPicPr>
                      <a:picLocks noChangeAspect="1"/>
                    </pic:cNvPicPr>
                  </pic:nvPicPr>
                  <pic:blipFill>
                    <a:blip r:embed="rId50"/>
                    <a:stretch>
                      <a:fillRect/>
                    </a:stretch>
                  </pic:blipFill>
                  <pic:spPr>
                    <a:xfrm>
                      <a:off x="0" y="0"/>
                      <a:ext cx="5295238" cy="7990476"/>
                    </a:xfrm>
                    <a:prstGeom prst="rect">
                      <a:avLst/>
                    </a:prstGeom>
                  </pic:spPr>
                </pic:pic>
              </a:graphicData>
            </a:graphic>
          </wp:inline>
        </w:drawing>
      </w:r>
      <w:r>
        <w:drawing>
          <wp:inline distT="0" distB="0" distL="0" distR="0">
            <wp:extent cx="5615940" cy="7509510"/>
            <wp:effectExtent l="0" t="0" r="3810" b="0"/>
            <wp:docPr id="419914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1421" name="图片 1"/>
                    <pic:cNvPicPr>
                      <a:picLocks noChangeAspect="1"/>
                    </pic:cNvPicPr>
                  </pic:nvPicPr>
                  <pic:blipFill>
                    <a:blip r:embed="rId51"/>
                    <a:stretch>
                      <a:fillRect/>
                    </a:stretch>
                  </pic:blipFill>
                  <pic:spPr>
                    <a:xfrm>
                      <a:off x="0" y="0"/>
                      <a:ext cx="5615940" cy="7509510"/>
                    </a:xfrm>
                    <a:prstGeom prst="rect">
                      <a:avLst/>
                    </a:prstGeom>
                  </pic:spPr>
                </pic:pic>
              </a:graphicData>
            </a:graphic>
          </wp:inline>
        </w:drawing>
      </w:r>
    </w:p>
    <w:p>
      <w:pPr>
        <w:pStyle w:val="15"/>
        <w:adjustRightInd w:val="0"/>
        <w:snapToGrid w:val="0"/>
        <w:spacing w:before="0" w:beforeAutospacing="0" w:after="0" w:afterAutospacing="0"/>
        <w:jc w:val="center"/>
        <w:rPr>
          <w:rFonts w:ascii="Times New Roman" w:hAnsi="Times New Roman"/>
          <w:snapToGrid w:val="0"/>
          <w:sz w:val="28"/>
          <w:szCs w:val="28"/>
        </w:rPr>
      </w:pPr>
      <w:r>
        <w:drawing>
          <wp:inline distT="0" distB="0" distL="0" distR="0">
            <wp:extent cx="5615940" cy="8345170"/>
            <wp:effectExtent l="0" t="0" r="3810" b="0"/>
            <wp:docPr id="1026438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43819" name="图片 1"/>
                    <pic:cNvPicPr>
                      <a:picLocks noChangeAspect="1"/>
                    </pic:cNvPicPr>
                  </pic:nvPicPr>
                  <pic:blipFill>
                    <a:blip r:embed="rId52"/>
                    <a:stretch>
                      <a:fillRect/>
                    </a:stretch>
                  </pic:blipFill>
                  <pic:spPr>
                    <a:xfrm>
                      <a:off x="0" y="0"/>
                      <a:ext cx="5615940" cy="8345170"/>
                    </a:xfrm>
                    <a:prstGeom prst="rect">
                      <a:avLst/>
                    </a:prstGeom>
                  </pic:spPr>
                </pic:pic>
              </a:graphicData>
            </a:graphic>
          </wp:inline>
        </w:drawing>
      </w:r>
      <w:r>
        <w:drawing>
          <wp:inline distT="0" distB="0" distL="0" distR="0">
            <wp:extent cx="5615940" cy="8348980"/>
            <wp:effectExtent l="0" t="0" r="3810" b="0"/>
            <wp:docPr id="953537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53792" name="图片 1"/>
                    <pic:cNvPicPr>
                      <a:picLocks noChangeAspect="1"/>
                    </pic:cNvPicPr>
                  </pic:nvPicPr>
                  <pic:blipFill>
                    <a:blip r:embed="rId53"/>
                    <a:stretch>
                      <a:fillRect/>
                    </a:stretch>
                  </pic:blipFill>
                  <pic:spPr>
                    <a:xfrm>
                      <a:off x="0" y="0"/>
                      <a:ext cx="5615940" cy="8348980"/>
                    </a:xfrm>
                    <a:prstGeom prst="rect">
                      <a:avLst/>
                    </a:prstGeom>
                  </pic:spPr>
                </pic:pic>
              </a:graphicData>
            </a:graphic>
          </wp:inline>
        </w:drawing>
      </w:r>
      <w:r>
        <w:drawing>
          <wp:inline distT="0" distB="0" distL="0" distR="0">
            <wp:extent cx="5615940" cy="7854950"/>
            <wp:effectExtent l="0" t="0" r="3810" b="0"/>
            <wp:docPr id="16155672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567263" name="图片 1"/>
                    <pic:cNvPicPr>
                      <a:picLocks noChangeAspect="1"/>
                    </pic:cNvPicPr>
                  </pic:nvPicPr>
                  <pic:blipFill>
                    <a:blip r:embed="rId54"/>
                    <a:stretch>
                      <a:fillRect/>
                    </a:stretch>
                  </pic:blipFill>
                  <pic:spPr>
                    <a:xfrm>
                      <a:off x="0" y="0"/>
                      <a:ext cx="5615940" cy="7854950"/>
                    </a:xfrm>
                    <a:prstGeom prst="rect">
                      <a:avLst/>
                    </a:prstGeom>
                  </pic:spPr>
                </pic:pic>
              </a:graphicData>
            </a:graphic>
          </wp:inline>
        </w:drawing>
      </w:r>
      <w:r>
        <w:drawing>
          <wp:inline distT="0" distB="0" distL="0" distR="0">
            <wp:extent cx="5615940" cy="8115300"/>
            <wp:effectExtent l="0" t="0" r="3810" b="0"/>
            <wp:docPr id="10631162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116294" name="图片 1"/>
                    <pic:cNvPicPr>
                      <a:picLocks noChangeAspect="1"/>
                    </pic:cNvPicPr>
                  </pic:nvPicPr>
                  <pic:blipFill>
                    <a:blip r:embed="rId55"/>
                    <a:stretch>
                      <a:fillRect/>
                    </a:stretch>
                  </pic:blipFill>
                  <pic:spPr>
                    <a:xfrm>
                      <a:off x="0" y="0"/>
                      <a:ext cx="5615940" cy="8115300"/>
                    </a:xfrm>
                    <a:prstGeom prst="rect">
                      <a:avLst/>
                    </a:prstGeom>
                  </pic:spPr>
                </pic:pic>
              </a:graphicData>
            </a:graphic>
          </wp:inline>
        </w:drawing>
      </w:r>
    </w:p>
    <w:p>
      <w:pPr>
        <w:pStyle w:val="15"/>
        <w:adjustRightInd w:val="0"/>
        <w:snapToGrid w:val="0"/>
        <w:spacing w:before="0" w:beforeAutospacing="0" w:after="0" w:afterAutospacing="0"/>
        <w:rPr>
          <w:rFonts w:hint="eastAsia"/>
          <w:snapToGrid w:val="0"/>
        </w:rPr>
      </w:pPr>
      <w:r>
        <w:rPr>
          <w:snapToGrid w:val="0"/>
        </w:rPr>
        <w:br w:type="page"/>
      </w:r>
    </w:p>
    <w:p>
      <w:pPr>
        <w:widowControl/>
        <w:jc w:val="center"/>
        <w:rPr>
          <w:snapToGrid w:val="0"/>
        </w:rPr>
        <w:sectPr>
          <w:footerReference r:id="rId8" w:type="default"/>
          <w:pgSz w:w="11906" w:h="16838"/>
          <w:pgMar w:top="1701" w:right="1531" w:bottom="1701" w:left="1531" w:header="851" w:footer="851" w:gutter="0"/>
          <w:cols w:space="720" w:num="1"/>
          <w:docGrid w:linePitch="312" w:charSpace="0"/>
        </w:sectPr>
      </w:pPr>
    </w:p>
    <w:bookmarkEnd w:id="38"/>
    <w:p>
      <w:pPr>
        <w:pStyle w:val="15"/>
        <w:adjustRightInd w:val="0"/>
        <w:snapToGrid w:val="0"/>
        <w:spacing w:before="0" w:beforeAutospacing="0" w:after="0" w:afterAutospacing="0" w:line="360" w:lineRule="auto"/>
        <w:outlineLvl w:val="1"/>
        <w:rPr>
          <w:rFonts w:ascii="Times New Roman" w:hAnsi="Times New Roman"/>
          <w:snapToGrid w:val="0"/>
          <w:sz w:val="28"/>
          <w:szCs w:val="28"/>
        </w:rPr>
      </w:pPr>
      <w:bookmarkStart w:id="41" w:name="_Toc210915819"/>
      <w:r>
        <w:rPr>
          <w:rFonts w:hint="eastAsia" w:ascii="Times New Roman" w:hAnsi="Times New Roman"/>
          <w:snapToGrid w:val="0"/>
          <w:sz w:val="28"/>
          <w:szCs w:val="28"/>
        </w:rPr>
        <w:t xml:space="preserve">附件5 </w:t>
      </w:r>
      <w:r>
        <w:rPr>
          <w:rFonts w:ascii="Times New Roman" w:hAnsi="Times New Roman"/>
          <w:snapToGrid w:val="0"/>
          <w:sz w:val="28"/>
          <w:szCs w:val="28"/>
        </w:rPr>
        <w:t>生态环境分区管控分析报告</w:t>
      </w:r>
      <w:bookmarkEnd w:id="41"/>
      <w:r>
        <w:t xml:space="preserve">   </w:t>
      </w:r>
    </w:p>
    <w:p>
      <w:pPr>
        <w:widowControl/>
        <w:jc w:val="center"/>
        <w:rPr>
          <w:snapToGrid w:val="0"/>
          <w:kern w:val="0"/>
          <w:sz w:val="28"/>
          <w:szCs w:val="28"/>
        </w:rPr>
      </w:pPr>
      <w:r>
        <w:drawing>
          <wp:inline distT="0" distB="0" distL="0" distR="0">
            <wp:extent cx="4674870" cy="3292475"/>
            <wp:effectExtent l="0" t="0" r="0" b="3175"/>
            <wp:docPr id="5106774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677463" name="图片 1"/>
                    <pic:cNvPicPr>
                      <a:picLocks noChangeAspect="1"/>
                    </pic:cNvPicPr>
                  </pic:nvPicPr>
                  <pic:blipFill>
                    <a:blip r:embed="rId56"/>
                    <a:stretch>
                      <a:fillRect/>
                    </a:stretch>
                  </pic:blipFill>
                  <pic:spPr>
                    <a:xfrm>
                      <a:off x="0" y="0"/>
                      <a:ext cx="4676428" cy="3293698"/>
                    </a:xfrm>
                    <a:prstGeom prst="rect">
                      <a:avLst/>
                    </a:prstGeom>
                  </pic:spPr>
                </pic:pic>
              </a:graphicData>
            </a:graphic>
          </wp:inline>
        </w:drawing>
      </w:r>
      <w:r>
        <w:drawing>
          <wp:inline distT="0" distB="0" distL="0" distR="0">
            <wp:extent cx="5615940" cy="3901440"/>
            <wp:effectExtent l="0" t="0" r="3810" b="3810"/>
            <wp:docPr id="136885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8568" name="图片 1"/>
                    <pic:cNvPicPr>
                      <a:picLocks noChangeAspect="1"/>
                    </pic:cNvPicPr>
                  </pic:nvPicPr>
                  <pic:blipFill>
                    <a:blip r:embed="rId57"/>
                    <a:stretch>
                      <a:fillRect/>
                    </a:stretch>
                  </pic:blipFill>
                  <pic:spPr>
                    <a:xfrm>
                      <a:off x="0" y="0"/>
                      <a:ext cx="5615940" cy="3901440"/>
                    </a:xfrm>
                    <a:prstGeom prst="rect">
                      <a:avLst/>
                    </a:prstGeom>
                  </pic:spPr>
                </pic:pic>
              </a:graphicData>
            </a:graphic>
          </wp:inline>
        </w:drawing>
      </w:r>
      <w:r>
        <w:drawing>
          <wp:inline distT="0" distB="0" distL="0" distR="0">
            <wp:extent cx="5615940" cy="3768090"/>
            <wp:effectExtent l="0" t="0" r="3810" b="3810"/>
            <wp:docPr id="18172546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254631" name="图片 1"/>
                    <pic:cNvPicPr>
                      <a:picLocks noChangeAspect="1"/>
                    </pic:cNvPicPr>
                  </pic:nvPicPr>
                  <pic:blipFill>
                    <a:blip r:embed="rId58"/>
                    <a:stretch>
                      <a:fillRect/>
                    </a:stretch>
                  </pic:blipFill>
                  <pic:spPr>
                    <a:xfrm>
                      <a:off x="0" y="0"/>
                      <a:ext cx="5615940" cy="3768090"/>
                    </a:xfrm>
                    <a:prstGeom prst="rect">
                      <a:avLst/>
                    </a:prstGeom>
                  </pic:spPr>
                </pic:pic>
              </a:graphicData>
            </a:graphic>
          </wp:inline>
        </w:drawing>
      </w:r>
      <w:r>
        <w:drawing>
          <wp:inline distT="0" distB="0" distL="0" distR="0">
            <wp:extent cx="5615940" cy="3887470"/>
            <wp:effectExtent l="0" t="0" r="3810" b="0"/>
            <wp:docPr id="19149650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65078" name="图片 1"/>
                    <pic:cNvPicPr>
                      <a:picLocks noChangeAspect="1"/>
                    </pic:cNvPicPr>
                  </pic:nvPicPr>
                  <pic:blipFill>
                    <a:blip r:embed="rId59"/>
                    <a:stretch>
                      <a:fillRect/>
                    </a:stretch>
                  </pic:blipFill>
                  <pic:spPr>
                    <a:xfrm>
                      <a:off x="0" y="0"/>
                      <a:ext cx="5615940" cy="3887470"/>
                    </a:xfrm>
                    <a:prstGeom prst="rect">
                      <a:avLst/>
                    </a:prstGeom>
                  </pic:spPr>
                </pic:pic>
              </a:graphicData>
            </a:graphic>
          </wp:inline>
        </w:drawing>
      </w:r>
      <w:r>
        <w:drawing>
          <wp:inline distT="0" distB="0" distL="0" distR="0">
            <wp:extent cx="5615940" cy="3964305"/>
            <wp:effectExtent l="0" t="0" r="3810" b="0"/>
            <wp:docPr id="12942438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43819" name="图片 1"/>
                    <pic:cNvPicPr>
                      <a:picLocks noChangeAspect="1"/>
                    </pic:cNvPicPr>
                  </pic:nvPicPr>
                  <pic:blipFill>
                    <a:blip r:embed="rId60"/>
                    <a:stretch>
                      <a:fillRect/>
                    </a:stretch>
                  </pic:blipFill>
                  <pic:spPr>
                    <a:xfrm>
                      <a:off x="0" y="0"/>
                      <a:ext cx="5615940" cy="3964305"/>
                    </a:xfrm>
                    <a:prstGeom prst="rect">
                      <a:avLst/>
                    </a:prstGeom>
                  </pic:spPr>
                </pic:pic>
              </a:graphicData>
            </a:graphic>
          </wp:inline>
        </w:drawing>
      </w:r>
      <w:r>
        <w:drawing>
          <wp:inline distT="0" distB="0" distL="0" distR="0">
            <wp:extent cx="5615940" cy="3914775"/>
            <wp:effectExtent l="0" t="0" r="3810" b="9525"/>
            <wp:docPr id="1723606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06517" name="图片 1"/>
                    <pic:cNvPicPr>
                      <a:picLocks noChangeAspect="1"/>
                    </pic:cNvPicPr>
                  </pic:nvPicPr>
                  <pic:blipFill>
                    <a:blip r:embed="rId61"/>
                    <a:stretch>
                      <a:fillRect/>
                    </a:stretch>
                  </pic:blipFill>
                  <pic:spPr>
                    <a:xfrm>
                      <a:off x="0" y="0"/>
                      <a:ext cx="5615940" cy="3914775"/>
                    </a:xfrm>
                    <a:prstGeom prst="rect">
                      <a:avLst/>
                    </a:prstGeom>
                  </pic:spPr>
                </pic:pic>
              </a:graphicData>
            </a:graphic>
          </wp:inline>
        </w:drawing>
      </w:r>
      <w:r>
        <w:drawing>
          <wp:anchor distT="0" distB="0" distL="114300" distR="114300" simplePos="0" relativeHeight="251681792" behindDoc="0" locked="0" layoutInCell="1" allowOverlap="1">
            <wp:simplePos x="0" y="0"/>
            <wp:positionH relativeFrom="margin">
              <wp:posOffset>56515</wp:posOffset>
            </wp:positionH>
            <wp:positionV relativeFrom="paragraph">
              <wp:posOffset>-635</wp:posOffset>
            </wp:positionV>
            <wp:extent cx="5472430" cy="2895600"/>
            <wp:effectExtent l="0" t="0" r="0" b="0"/>
            <wp:wrapNone/>
            <wp:docPr id="6669264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26423" name="图片 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477794" cy="2898503"/>
                    </a:xfrm>
                    <a:prstGeom prst="rect">
                      <a:avLst/>
                    </a:prstGeom>
                  </pic:spPr>
                </pic:pic>
              </a:graphicData>
            </a:graphic>
          </wp:anchor>
        </w:drawing>
      </w:r>
      <w:r>
        <w:drawing>
          <wp:inline distT="0" distB="0" distL="0" distR="0">
            <wp:extent cx="5615940" cy="3895725"/>
            <wp:effectExtent l="0" t="0" r="3810" b="9525"/>
            <wp:docPr id="2146334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334126" name="图片 1"/>
                    <pic:cNvPicPr>
                      <a:picLocks noChangeAspect="1"/>
                    </pic:cNvPicPr>
                  </pic:nvPicPr>
                  <pic:blipFill>
                    <a:blip r:embed="rId63"/>
                    <a:stretch>
                      <a:fillRect/>
                    </a:stretch>
                  </pic:blipFill>
                  <pic:spPr>
                    <a:xfrm>
                      <a:off x="0" y="0"/>
                      <a:ext cx="5615940" cy="3895725"/>
                    </a:xfrm>
                    <a:prstGeom prst="rect">
                      <a:avLst/>
                    </a:prstGeom>
                  </pic:spPr>
                </pic:pic>
              </a:graphicData>
            </a:graphic>
          </wp:inline>
        </w:drawing>
      </w:r>
      <w:r>
        <w:drawing>
          <wp:anchor distT="0" distB="0" distL="114300" distR="114300" simplePos="0" relativeHeight="251680768" behindDoc="0" locked="0" layoutInCell="1" allowOverlap="1">
            <wp:simplePos x="0" y="0"/>
            <wp:positionH relativeFrom="margin">
              <wp:posOffset>-635</wp:posOffset>
            </wp:positionH>
            <wp:positionV relativeFrom="paragraph">
              <wp:posOffset>4126865</wp:posOffset>
            </wp:positionV>
            <wp:extent cx="5646420" cy="2590800"/>
            <wp:effectExtent l="0" t="0" r="0" b="0"/>
            <wp:wrapNone/>
            <wp:docPr id="10250100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010031" name="图片 1"/>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646420" cy="2590800"/>
                    </a:xfrm>
                    <a:prstGeom prst="rect">
                      <a:avLst/>
                    </a:prstGeom>
                  </pic:spPr>
                </pic:pic>
              </a:graphicData>
            </a:graphic>
          </wp:anchor>
        </w:drawing>
      </w:r>
      <w:r>
        <w:drawing>
          <wp:inline distT="0" distB="0" distL="0" distR="0">
            <wp:extent cx="5615940" cy="3947795"/>
            <wp:effectExtent l="0" t="0" r="3810" b="0"/>
            <wp:docPr id="15315055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05506" name="图片 1"/>
                    <pic:cNvPicPr>
                      <a:picLocks noChangeAspect="1"/>
                    </pic:cNvPicPr>
                  </pic:nvPicPr>
                  <pic:blipFill>
                    <a:blip r:embed="rId65"/>
                    <a:stretch>
                      <a:fillRect/>
                    </a:stretch>
                  </pic:blipFill>
                  <pic:spPr>
                    <a:xfrm>
                      <a:off x="0" y="0"/>
                      <a:ext cx="5615940" cy="3947795"/>
                    </a:xfrm>
                    <a:prstGeom prst="rect">
                      <a:avLst/>
                    </a:prstGeom>
                  </pic:spPr>
                </pic:pic>
              </a:graphicData>
            </a:graphic>
          </wp:inline>
        </w:drawing>
      </w:r>
      <w:r>
        <w:drawing>
          <wp:inline distT="0" distB="0" distL="0" distR="0">
            <wp:extent cx="5615940" cy="3839210"/>
            <wp:effectExtent l="0" t="0" r="3810" b="8890"/>
            <wp:docPr id="3349014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901422" name="图片 1"/>
                    <pic:cNvPicPr>
                      <a:picLocks noChangeAspect="1"/>
                    </pic:cNvPicPr>
                  </pic:nvPicPr>
                  <pic:blipFill>
                    <a:blip r:embed="rId66"/>
                    <a:stretch>
                      <a:fillRect/>
                    </a:stretch>
                  </pic:blipFill>
                  <pic:spPr>
                    <a:xfrm>
                      <a:off x="0" y="0"/>
                      <a:ext cx="5615940" cy="3839210"/>
                    </a:xfrm>
                    <a:prstGeom prst="rect">
                      <a:avLst/>
                    </a:prstGeom>
                  </pic:spPr>
                </pic:pic>
              </a:graphicData>
            </a:graphic>
          </wp:inline>
        </w:drawing>
      </w:r>
      <w:r>
        <w:drawing>
          <wp:inline distT="0" distB="0" distL="0" distR="0">
            <wp:extent cx="5615940" cy="3863975"/>
            <wp:effectExtent l="0" t="0" r="3810" b="3175"/>
            <wp:docPr id="3080738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73846" name="图片 1"/>
                    <pic:cNvPicPr>
                      <a:picLocks noChangeAspect="1"/>
                    </pic:cNvPicPr>
                  </pic:nvPicPr>
                  <pic:blipFill>
                    <a:blip r:embed="rId67"/>
                    <a:stretch>
                      <a:fillRect/>
                    </a:stretch>
                  </pic:blipFill>
                  <pic:spPr>
                    <a:xfrm>
                      <a:off x="0" y="0"/>
                      <a:ext cx="5615940" cy="3863975"/>
                    </a:xfrm>
                    <a:prstGeom prst="rect">
                      <a:avLst/>
                    </a:prstGeom>
                  </pic:spPr>
                </pic:pic>
              </a:graphicData>
            </a:graphic>
          </wp:inline>
        </w:drawing>
      </w:r>
      <w:r>
        <w:rPr>
          <w:snapToGrid w:val="0"/>
          <w:sz w:val="28"/>
          <w:szCs w:val="28"/>
        </w:rPr>
        <w:br w:type="page"/>
      </w:r>
    </w:p>
    <w:p>
      <w:pPr>
        <w:pStyle w:val="15"/>
        <w:adjustRightInd w:val="0"/>
        <w:snapToGrid w:val="0"/>
        <w:spacing w:before="0" w:beforeAutospacing="0" w:after="0" w:afterAutospacing="0" w:line="360" w:lineRule="auto"/>
        <w:outlineLvl w:val="1"/>
        <w:rPr>
          <w:rFonts w:ascii="Times New Roman" w:hAnsi="Times New Roman"/>
          <w:snapToGrid w:val="0"/>
          <w:sz w:val="28"/>
          <w:szCs w:val="28"/>
        </w:rPr>
      </w:pPr>
      <w:bookmarkStart w:id="42" w:name="_Toc210915820"/>
      <w:r>
        <w:rPr>
          <w:rFonts w:ascii="Times New Roman" w:hAnsi="Times New Roman"/>
          <w:snapToGrid w:val="0"/>
          <w:sz w:val="28"/>
          <w:szCs w:val="28"/>
        </w:rPr>
        <w:t>附件</w:t>
      </w:r>
      <w:r>
        <w:rPr>
          <w:rFonts w:hint="eastAsia" w:ascii="Times New Roman" w:hAnsi="Times New Roman"/>
          <w:snapToGrid w:val="0"/>
          <w:sz w:val="28"/>
          <w:szCs w:val="28"/>
        </w:rPr>
        <w:t>6</w:t>
      </w:r>
      <w:r>
        <w:rPr>
          <w:rFonts w:ascii="Times New Roman" w:hAnsi="Times New Roman"/>
          <w:snapToGrid w:val="0"/>
          <w:sz w:val="28"/>
          <w:szCs w:val="28"/>
        </w:rPr>
        <w:t xml:space="preserve"> </w:t>
      </w:r>
      <w:r>
        <w:rPr>
          <w:rFonts w:hint="eastAsia" w:ascii="Times New Roman" w:hAnsi="Times New Roman"/>
          <w:snapToGrid w:val="0"/>
          <w:sz w:val="28"/>
          <w:szCs w:val="28"/>
        </w:rPr>
        <w:t>原煤煤质检测报告</w:t>
      </w:r>
      <w:bookmarkEnd w:id="42"/>
    </w:p>
    <w:p>
      <w:pPr>
        <w:pStyle w:val="15"/>
        <w:adjustRightInd w:val="0"/>
        <w:snapToGrid w:val="0"/>
        <w:spacing w:before="0" w:beforeAutospacing="0" w:after="0" w:afterAutospacing="0" w:line="360" w:lineRule="auto"/>
        <w:rPr>
          <w:rFonts w:ascii="Times New Roman" w:hAnsi="Times New Roman"/>
          <w:snapToGrid w:val="0"/>
          <w:sz w:val="28"/>
          <w:szCs w:val="28"/>
        </w:rPr>
      </w:pPr>
      <w:r>
        <w:drawing>
          <wp:inline distT="0" distB="0" distL="0" distR="0">
            <wp:extent cx="5615940" cy="7884795"/>
            <wp:effectExtent l="0" t="0" r="3810" b="1905"/>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68"/>
                    <a:stretch>
                      <a:fillRect/>
                    </a:stretch>
                  </pic:blipFill>
                  <pic:spPr>
                    <a:xfrm>
                      <a:off x="0" y="0"/>
                      <a:ext cx="5615940" cy="7884795"/>
                    </a:xfrm>
                    <a:prstGeom prst="rect">
                      <a:avLst/>
                    </a:prstGeom>
                  </pic:spPr>
                </pic:pic>
              </a:graphicData>
            </a:graphic>
          </wp:inline>
        </w:drawing>
      </w:r>
    </w:p>
    <w:p>
      <w:pPr>
        <w:pStyle w:val="15"/>
        <w:adjustRightInd w:val="0"/>
        <w:snapToGrid w:val="0"/>
        <w:spacing w:before="0" w:beforeAutospacing="0" w:after="0" w:afterAutospacing="0" w:line="360" w:lineRule="auto"/>
        <w:rPr>
          <w:rFonts w:ascii="Times New Roman" w:hAnsi="Times New Roman"/>
          <w:snapToGrid w:val="0"/>
          <w:sz w:val="28"/>
          <w:szCs w:val="28"/>
        </w:rPr>
      </w:pPr>
      <w:r>
        <w:rPr>
          <w:position w:val="-259"/>
        </w:rPr>
        <w:drawing>
          <wp:inline distT="0" distB="0" distL="0" distR="0">
            <wp:extent cx="5615940" cy="8244840"/>
            <wp:effectExtent l="0" t="0" r="3810" b="3810"/>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69"/>
                    <a:stretch>
                      <a:fillRect/>
                    </a:stretch>
                  </pic:blipFill>
                  <pic:spPr>
                    <a:xfrm>
                      <a:off x="0" y="0"/>
                      <a:ext cx="5615940" cy="8244840"/>
                    </a:xfrm>
                    <a:prstGeom prst="rect">
                      <a:avLst/>
                    </a:prstGeom>
                  </pic:spPr>
                </pic:pic>
              </a:graphicData>
            </a:graphic>
          </wp:inline>
        </w:drawing>
      </w:r>
    </w:p>
    <w:p>
      <w:pPr>
        <w:pStyle w:val="15"/>
        <w:adjustRightInd w:val="0"/>
        <w:snapToGrid w:val="0"/>
        <w:spacing w:before="0" w:beforeAutospacing="0" w:after="0" w:afterAutospacing="0" w:line="360" w:lineRule="auto"/>
        <w:jc w:val="center"/>
        <w:rPr>
          <w:rFonts w:ascii="Times New Roman" w:hAnsi="Times New Roman"/>
          <w:snapToGrid w:val="0"/>
          <w:sz w:val="28"/>
          <w:szCs w:val="28"/>
        </w:rPr>
        <w:sectPr>
          <w:pgSz w:w="11906" w:h="16838"/>
          <w:pgMar w:top="1701" w:right="1531" w:bottom="1701" w:left="1531" w:header="851" w:footer="851" w:gutter="0"/>
          <w:cols w:space="720" w:num="1"/>
          <w:docGrid w:linePitch="312" w:charSpace="0"/>
        </w:sectPr>
      </w:pPr>
      <w:r>
        <w:rPr>
          <w:position w:val="-268"/>
        </w:rPr>
        <w:drawing>
          <wp:inline distT="0" distB="0" distL="0" distR="0">
            <wp:extent cx="5610860" cy="8531225"/>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70"/>
                    <a:stretch>
                      <a:fillRect/>
                    </a:stretch>
                  </pic:blipFill>
                  <pic:spPr>
                    <a:xfrm>
                      <a:off x="0" y="0"/>
                      <a:ext cx="5611368" cy="8531352"/>
                    </a:xfrm>
                    <a:prstGeom prst="rect">
                      <a:avLst/>
                    </a:prstGeom>
                  </pic:spPr>
                </pic:pic>
              </a:graphicData>
            </a:graphic>
          </wp:inline>
        </w:drawing>
      </w:r>
      <w:r>
        <w:rPr>
          <w:position w:val="-202"/>
        </w:rPr>
        <w:drawing>
          <wp:inline distT="0" distB="0" distL="0" distR="0">
            <wp:extent cx="5007610" cy="7495540"/>
            <wp:effectExtent l="0" t="0" r="2540" b="0"/>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71"/>
                    <a:stretch>
                      <a:fillRect/>
                    </a:stretch>
                  </pic:blipFill>
                  <pic:spPr>
                    <a:xfrm>
                      <a:off x="0" y="0"/>
                      <a:ext cx="5016615" cy="7508945"/>
                    </a:xfrm>
                    <a:prstGeom prst="rect">
                      <a:avLst/>
                    </a:prstGeom>
                  </pic:spPr>
                </pic:pic>
              </a:graphicData>
            </a:graphic>
          </wp:inline>
        </w:drawing>
      </w:r>
    </w:p>
    <w:p>
      <w:pPr>
        <w:pStyle w:val="15"/>
        <w:adjustRightInd w:val="0"/>
        <w:snapToGrid w:val="0"/>
        <w:spacing w:before="0" w:beforeAutospacing="0" w:after="0" w:afterAutospacing="0" w:line="360" w:lineRule="auto"/>
        <w:outlineLvl w:val="1"/>
        <w:rPr>
          <w:rFonts w:ascii="Times New Roman" w:hAnsi="Times New Roman"/>
          <w:snapToGrid w:val="0"/>
          <w:sz w:val="28"/>
          <w:szCs w:val="28"/>
        </w:rPr>
      </w:pPr>
      <w:bookmarkStart w:id="43" w:name="_Toc210915821"/>
      <w:r>
        <w:rPr>
          <w:rFonts w:ascii="Times New Roman" w:hAnsi="Times New Roman"/>
          <w:snapToGrid w:val="0"/>
          <w:sz w:val="28"/>
          <w:szCs w:val="28"/>
        </w:rPr>
        <w:drawing>
          <wp:anchor distT="0" distB="0" distL="114300" distR="114300" simplePos="0" relativeHeight="251675648" behindDoc="0" locked="0" layoutInCell="1" allowOverlap="1">
            <wp:simplePos x="0" y="0"/>
            <wp:positionH relativeFrom="column">
              <wp:posOffset>557530</wp:posOffset>
            </wp:positionH>
            <wp:positionV relativeFrom="paragraph">
              <wp:posOffset>405130</wp:posOffset>
            </wp:positionV>
            <wp:extent cx="7348220" cy="4809490"/>
            <wp:effectExtent l="0" t="0" r="5080" b="0"/>
            <wp:wrapTopAndBottom/>
            <wp:docPr id="10700362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36230" name="图片 1"/>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348220" cy="4809490"/>
                    </a:xfrm>
                    <a:prstGeom prst="rect">
                      <a:avLst/>
                    </a:prstGeom>
                  </pic:spPr>
                </pic:pic>
              </a:graphicData>
            </a:graphic>
          </wp:anchor>
        </w:drawing>
      </w:r>
      <w:r>
        <w:rPr>
          <w:rFonts w:ascii="Times New Roman" w:hAnsi="Times New Roman"/>
          <w:snapToGrid w:val="0"/>
          <w:sz w:val="28"/>
          <w:szCs w:val="28"/>
        </w:rPr>
        <w:t>附件</w:t>
      </w:r>
      <w:r>
        <w:rPr>
          <w:rFonts w:hint="eastAsia" w:ascii="Times New Roman" w:hAnsi="Times New Roman"/>
          <w:snapToGrid w:val="0"/>
          <w:sz w:val="28"/>
          <w:szCs w:val="28"/>
        </w:rPr>
        <w:t>7</w:t>
      </w:r>
      <w:r>
        <w:rPr>
          <w:rFonts w:ascii="Times New Roman" w:hAnsi="Times New Roman"/>
          <w:snapToGrid w:val="0"/>
          <w:sz w:val="28"/>
          <w:szCs w:val="28"/>
        </w:rPr>
        <w:t xml:space="preserve"> </w:t>
      </w:r>
      <w:r>
        <w:rPr>
          <w:rFonts w:hint="eastAsia" w:ascii="Times New Roman" w:hAnsi="Times New Roman"/>
          <w:snapToGrid w:val="0"/>
          <w:sz w:val="28"/>
          <w:szCs w:val="28"/>
        </w:rPr>
        <w:t>编制单位营业执照</w:t>
      </w:r>
      <w:bookmarkEnd w:id="43"/>
    </w:p>
    <w:p>
      <w:pPr>
        <w:widowControl/>
        <w:jc w:val="left"/>
        <w:rPr>
          <w:snapToGrid w:val="0"/>
          <w:kern w:val="0"/>
          <w:sz w:val="28"/>
          <w:szCs w:val="28"/>
        </w:rPr>
      </w:pPr>
      <w:r>
        <w:rPr>
          <w:snapToGrid w:val="0"/>
          <w:sz w:val="28"/>
          <w:szCs w:val="28"/>
        </w:rPr>
        <w:br w:type="page"/>
      </w:r>
    </w:p>
    <w:p>
      <w:pPr>
        <w:pStyle w:val="15"/>
        <w:adjustRightInd w:val="0"/>
        <w:snapToGrid w:val="0"/>
        <w:spacing w:before="0" w:beforeAutospacing="0" w:after="0" w:afterAutospacing="0" w:line="360" w:lineRule="auto"/>
        <w:outlineLvl w:val="1"/>
        <w:rPr>
          <w:rFonts w:ascii="Times New Roman" w:hAnsi="Times New Roman"/>
          <w:snapToGrid w:val="0"/>
          <w:sz w:val="28"/>
          <w:szCs w:val="28"/>
        </w:rPr>
      </w:pPr>
      <w:bookmarkStart w:id="44" w:name="_Toc210915822"/>
      <w:r>
        <w:rPr>
          <w:rFonts w:hint="eastAsia" w:ascii="Times New Roman" w:hAnsi="Times New Roman"/>
          <w:snapToGrid w:val="0"/>
          <w:sz w:val="28"/>
          <w:szCs w:val="28"/>
        </w:rPr>
        <w:t>附件8 编制人员环评资质证书</w:t>
      </w:r>
      <w:bookmarkEnd w:id="44"/>
    </w:p>
    <w:p>
      <w:pPr>
        <w:pStyle w:val="15"/>
        <w:adjustRightInd w:val="0"/>
        <w:snapToGrid w:val="0"/>
        <w:spacing w:before="0" w:beforeAutospacing="0" w:after="0" w:afterAutospacing="0" w:line="360" w:lineRule="auto"/>
        <w:jc w:val="center"/>
        <w:rPr>
          <w:rFonts w:hint="eastAsia" w:ascii="Times New Roman" w:hAnsi="Times New Roman" w:eastAsia="宋体"/>
          <w:snapToGrid w:val="0"/>
          <w:sz w:val="28"/>
          <w:szCs w:val="28"/>
          <w:lang w:eastAsia="zh-CN"/>
        </w:rPr>
        <w:sectPr>
          <w:footerReference r:id="rId9" w:type="default"/>
          <w:pgSz w:w="16838" w:h="11906" w:orient="landscape"/>
          <w:pgMar w:top="1531" w:right="1701" w:bottom="1531" w:left="1701" w:header="851" w:footer="851" w:gutter="0"/>
          <w:cols w:space="720" w:num="1"/>
          <w:docGrid w:linePitch="312" w:charSpace="0"/>
        </w:sectPr>
      </w:pPr>
      <w:r>
        <w:rPr>
          <w:rFonts w:hint="eastAsia" w:ascii="Times New Roman" w:hAnsi="Times New Roman" w:eastAsia="宋体"/>
          <w:snapToGrid w:val="0"/>
          <w:sz w:val="28"/>
          <w:szCs w:val="28"/>
          <w:lang w:eastAsia="zh-CN"/>
        </w:rPr>
        <w:drawing>
          <wp:inline distT="0" distB="0" distL="114300" distR="114300">
            <wp:extent cx="7695565" cy="5604510"/>
            <wp:effectExtent l="0" t="0" r="635" b="15240"/>
            <wp:docPr id="6" name="图片 6" descr="坦鑫-附件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坦鑫-附件8"/>
                    <pic:cNvPicPr>
                      <a:picLocks noChangeAspect="1"/>
                    </pic:cNvPicPr>
                  </pic:nvPicPr>
                  <pic:blipFill>
                    <a:blip r:embed="rId73"/>
                    <a:stretch>
                      <a:fillRect/>
                    </a:stretch>
                  </pic:blipFill>
                  <pic:spPr>
                    <a:xfrm>
                      <a:off x="0" y="0"/>
                      <a:ext cx="7695565" cy="5604510"/>
                    </a:xfrm>
                    <a:prstGeom prst="rect">
                      <a:avLst/>
                    </a:prstGeom>
                  </pic:spPr>
                </pic:pic>
              </a:graphicData>
            </a:graphic>
          </wp:inline>
        </w:drawing>
      </w:r>
    </w:p>
    <w:p>
      <w:pPr>
        <w:pStyle w:val="15"/>
        <w:adjustRightInd w:val="0"/>
        <w:snapToGrid w:val="0"/>
        <w:spacing w:before="0" w:beforeAutospacing="0" w:after="0" w:afterAutospacing="0" w:line="360" w:lineRule="auto"/>
        <w:outlineLvl w:val="1"/>
        <w:rPr>
          <w:rFonts w:ascii="Times New Roman" w:hAnsi="Times New Roman"/>
          <w:snapToGrid w:val="0"/>
          <w:sz w:val="28"/>
          <w:szCs w:val="28"/>
        </w:rPr>
      </w:pPr>
      <w:bookmarkStart w:id="45" w:name="_Toc210915823"/>
      <w:r>
        <w:rPr>
          <w:rFonts w:hint="eastAsia" w:ascii="Times New Roman" w:hAnsi="Times New Roman"/>
          <w:snapToGrid w:val="0"/>
          <w:sz w:val="28"/>
          <w:szCs w:val="28"/>
        </w:rPr>
        <w:t>附件9 编制单位与编制人员劳动合同</w:t>
      </w:r>
      <w:bookmarkEnd w:id="45"/>
    </w:p>
    <w:p>
      <w:pPr>
        <w:widowControl/>
        <w:jc w:val="center"/>
        <w:rPr>
          <w:rFonts w:hint="eastAsia" w:eastAsia="宋体"/>
          <w:kern w:val="0"/>
          <w:sz w:val="20"/>
          <w:szCs w:val="20"/>
          <w:lang w:eastAsia="zh-CN"/>
        </w:rPr>
      </w:pPr>
      <w:r>
        <w:rPr>
          <w:rFonts w:hint="eastAsia" w:eastAsia="宋体"/>
          <w:kern w:val="0"/>
          <w:sz w:val="20"/>
          <w:szCs w:val="20"/>
          <w:lang w:eastAsia="zh-CN"/>
        </w:rPr>
        <w:drawing>
          <wp:inline distT="0" distB="0" distL="114300" distR="114300">
            <wp:extent cx="5612765" cy="7765415"/>
            <wp:effectExtent l="0" t="0" r="6985" b="6985"/>
            <wp:docPr id="5" name="图片 5" descr="坦鑫-附件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坦鑫-附件9"/>
                    <pic:cNvPicPr>
                      <a:picLocks noChangeAspect="1"/>
                    </pic:cNvPicPr>
                  </pic:nvPicPr>
                  <pic:blipFill>
                    <a:blip r:embed="rId74"/>
                    <a:stretch>
                      <a:fillRect/>
                    </a:stretch>
                  </pic:blipFill>
                  <pic:spPr>
                    <a:xfrm>
                      <a:off x="0" y="0"/>
                      <a:ext cx="5612765" cy="7765415"/>
                    </a:xfrm>
                    <a:prstGeom prst="rect">
                      <a:avLst/>
                    </a:prstGeom>
                  </pic:spPr>
                </pic:pic>
              </a:graphicData>
            </a:graphic>
          </wp:inline>
        </w:drawing>
      </w:r>
    </w:p>
    <w:p>
      <w:pPr>
        <w:widowControl/>
        <w:jc w:val="left"/>
        <w:rPr>
          <w:kern w:val="0"/>
          <w:sz w:val="20"/>
          <w:szCs w:val="20"/>
        </w:rPr>
      </w:pPr>
      <w:r>
        <w:rPr>
          <w:kern w:val="0"/>
          <w:sz w:val="20"/>
          <w:szCs w:val="20"/>
        </w:rPr>
        <w:br w:type="page"/>
      </w:r>
    </w:p>
    <w:p>
      <w:pPr>
        <w:pStyle w:val="15"/>
        <w:adjustRightInd w:val="0"/>
        <w:snapToGrid w:val="0"/>
        <w:spacing w:before="0" w:beforeAutospacing="0" w:after="0" w:afterAutospacing="0" w:line="360" w:lineRule="auto"/>
        <w:outlineLvl w:val="1"/>
        <w:rPr>
          <w:rFonts w:ascii="Times New Roman" w:hAnsi="Times New Roman"/>
          <w:snapToGrid w:val="0"/>
          <w:sz w:val="28"/>
          <w:szCs w:val="28"/>
        </w:rPr>
      </w:pPr>
      <w:bookmarkStart w:id="46" w:name="_Toc210915824"/>
      <w:r>
        <w:rPr>
          <w:rFonts w:hint="eastAsia" w:ascii="Times New Roman" w:hAnsi="Times New Roman"/>
          <w:snapToGrid w:val="0"/>
          <w:sz w:val="28"/>
          <w:szCs w:val="28"/>
        </w:rPr>
        <w:t>附件10 编制人员社保缴费记录</w:t>
      </w:r>
      <w:bookmarkEnd w:id="46"/>
    </w:p>
    <w:p>
      <w:pPr>
        <w:pStyle w:val="15"/>
        <w:adjustRightInd w:val="0"/>
        <w:snapToGrid w:val="0"/>
        <w:spacing w:before="0" w:beforeAutospacing="0" w:after="0" w:afterAutospacing="0" w:line="360" w:lineRule="auto"/>
        <w:rPr>
          <w:rFonts w:hint="eastAsia" w:ascii="Times New Roman" w:hAnsi="Times New Roman" w:eastAsia="宋体"/>
          <w:snapToGrid w:val="0"/>
          <w:sz w:val="28"/>
          <w:szCs w:val="28"/>
          <w:lang w:eastAsia="zh-CN"/>
        </w:rPr>
      </w:pPr>
      <w:r>
        <w:rPr>
          <w:rFonts w:hint="eastAsia" w:ascii="Times New Roman" w:hAnsi="Times New Roman" w:eastAsia="宋体"/>
          <w:snapToGrid w:val="0"/>
          <w:sz w:val="28"/>
          <w:szCs w:val="28"/>
          <w:lang w:eastAsia="zh-CN"/>
        </w:rPr>
        <w:drawing>
          <wp:inline distT="0" distB="0" distL="114300" distR="114300">
            <wp:extent cx="5613400" cy="4096385"/>
            <wp:effectExtent l="0" t="0" r="6350" b="18415"/>
            <wp:docPr id="4" name="图片 4" descr="坦鑫-附件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坦鑫-附件10"/>
                    <pic:cNvPicPr>
                      <a:picLocks noChangeAspect="1"/>
                    </pic:cNvPicPr>
                  </pic:nvPicPr>
                  <pic:blipFill>
                    <a:blip r:embed="rId75"/>
                    <a:stretch>
                      <a:fillRect/>
                    </a:stretch>
                  </pic:blipFill>
                  <pic:spPr>
                    <a:xfrm>
                      <a:off x="0" y="0"/>
                      <a:ext cx="5613400" cy="4096385"/>
                    </a:xfrm>
                    <a:prstGeom prst="rect">
                      <a:avLst/>
                    </a:prstGeom>
                  </pic:spPr>
                </pic:pic>
              </a:graphicData>
            </a:graphic>
          </wp:inline>
        </w:drawing>
      </w:r>
    </w:p>
    <w:p>
      <w:pPr>
        <w:widowControl/>
        <w:jc w:val="left"/>
        <w:rPr>
          <w:snapToGrid w:val="0"/>
          <w:kern w:val="0"/>
          <w:sz w:val="28"/>
          <w:szCs w:val="28"/>
        </w:rPr>
      </w:pPr>
      <w:r>
        <w:rPr>
          <w:snapToGrid w:val="0"/>
          <w:sz w:val="28"/>
          <w:szCs w:val="28"/>
        </w:rPr>
        <w:br w:type="page"/>
      </w:r>
    </w:p>
    <w:p>
      <w:pPr>
        <w:pStyle w:val="15"/>
        <w:adjustRightInd w:val="0"/>
        <w:snapToGrid w:val="0"/>
        <w:spacing w:before="0" w:beforeAutospacing="0" w:after="0" w:afterAutospacing="0" w:line="360" w:lineRule="auto"/>
        <w:outlineLvl w:val="1"/>
        <w:rPr>
          <w:rFonts w:ascii="Times New Roman" w:hAnsi="Times New Roman"/>
          <w:snapToGrid w:val="0"/>
          <w:sz w:val="28"/>
          <w:szCs w:val="28"/>
        </w:rPr>
      </w:pPr>
      <w:bookmarkStart w:id="47" w:name="_Toc210915825"/>
      <w:r>
        <w:rPr>
          <w:rFonts w:hint="eastAsia" w:ascii="Times New Roman" w:hAnsi="Times New Roman"/>
          <w:snapToGrid w:val="0"/>
          <w:sz w:val="28"/>
          <w:szCs w:val="28"/>
        </w:rPr>
        <w:t>附件11 工程师现场勘查照片</w:t>
      </w:r>
      <w:bookmarkEnd w:id="47"/>
    </w:p>
    <w:p>
      <w:pPr>
        <w:pStyle w:val="15"/>
        <w:adjustRightInd w:val="0"/>
        <w:snapToGrid w:val="0"/>
        <w:spacing w:before="0" w:beforeAutospacing="0" w:after="0" w:afterAutospacing="0" w:line="360" w:lineRule="auto"/>
        <w:jc w:val="center"/>
        <w:rPr>
          <w:rFonts w:ascii="Times New Roman" w:hAnsi="Times New Roman"/>
          <w:snapToGrid w:val="0"/>
          <w:sz w:val="28"/>
          <w:szCs w:val="28"/>
        </w:rPr>
      </w:pPr>
      <w:r>
        <w:rPr>
          <w:rFonts w:ascii="Times New Roman" w:hAnsi="Times New Roman" w:eastAsiaTheme="minorEastAsia"/>
          <w:snapToGrid w:val="0"/>
          <w:sz w:val="28"/>
          <w:szCs w:val="28"/>
        </w:rPr>
        <w:drawing>
          <wp:inline distT="0" distB="0" distL="0" distR="0">
            <wp:extent cx="5146040" cy="3860800"/>
            <wp:effectExtent l="0" t="0" r="0" b="6350"/>
            <wp:docPr id="1104961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96137" name="图片 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5153746" cy="3867059"/>
                    </a:xfrm>
                    <a:prstGeom prst="rect">
                      <a:avLst/>
                    </a:prstGeom>
                    <a:noFill/>
                    <a:ln>
                      <a:noFill/>
                    </a:ln>
                  </pic:spPr>
                </pic:pic>
              </a:graphicData>
            </a:graphic>
          </wp:inline>
        </w:drawing>
      </w:r>
      <w:r>
        <w:rPr>
          <w:rFonts w:ascii="Times New Roman" w:hAnsi="Times New Roman"/>
          <w:snapToGrid w:val="0"/>
          <w:sz w:val="28"/>
          <w:szCs w:val="28"/>
        </w:rPr>
        <w:drawing>
          <wp:inline distT="0" distB="0" distL="0" distR="0">
            <wp:extent cx="5060950" cy="3795395"/>
            <wp:effectExtent l="0" t="0" r="6350" b="0"/>
            <wp:docPr id="91305317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53170" name="图片 1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5065249" cy="3798937"/>
                    </a:xfrm>
                    <a:prstGeom prst="rect">
                      <a:avLst/>
                    </a:prstGeom>
                    <a:noFill/>
                    <a:ln>
                      <a:noFill/>
                    </a:ln>
                  </pic:spPr>
                </pic:pic>
              </a:graphicData>
            </a:graphic>
          </wp:inline>
        </w:drawing>
      </w:r>
    </w:p>
    <w:p>
      <w:pPr>
        <w:pStyle w:val="15"/>
        <w:adjustRightInd w:val="0"/>
        <w:snapToGrid w:val="0"/>
        <w:spacing w:before="0" w:beforeAutospacing="0" w:after="0" w:afterAutospacing="0" w:line="360" w:lineRule="auto"/>
        <w:jc w:val="center"/>
        <w:rPr>
          <w:rFonts w:ascii="Times New Roman" w:hAnsi="Times New Roman"/>
          <w:snapToGrid w:val="0"/>
          <w:sz w:val="28"/>
          <w:szCs w:val="28"/>
        </w:rPr>
      </w:pPr>
      <w:r>
        <w:drawing>
          <wp:inline distT="0" distB="0" distL="0" distR="0">
            <wp:extent cx="5074920" cy="3806190"/>
            <wp:effectExtent l="0" t="0" r="0" b="3810"/>
            <wp:docPr id="1848160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16009" name="图片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5080814" cy="3810611"/>
                    </a:xfrm>
                    <a:prstGeom prst="rect">
                      <a:avLst/>
                    </a:prstGeom>
                    <a:noFill/>
                    <a:ln>
                      <a:noFill/>
                    </a:ln>
                  </pic:spPr>
                </pic:pic>
              </a:graphicData>
            </a:graphic>
          </wp:inline>
        </w:drawing>
      </w:r>
    </w:p>
    <w:p>
      <w:pPr>
        <w:pStyle w:val="15"/>
        <w:adjustRightInd w:val="0"/>
        <w:snapToGrid w:val="0"/>
        <w:spacing w:before="0" w:beforeAutospacing="0" w:after="0" w:afterAutospacing="0" w:line="360" w:lineRule="auto"/>
        <w:jc w:val="center"/>
        <w:rPr>
          <w:rFonts w:ascii="Times New Roman" w:hAnsi="Times New Roman" w:eastAsiaTheme="minorEastAsia"/>
          <w:snapToGrid w:val="0"/>
          <w:w w:val="0"/>
          <w:sz w:val="0"/>
          <w:szCs w:val="0"/>
          <w:u w:color="000000"/>
          <w:shd w:val="clear" w:color="000000" w:fill="000000"/>
          <w:lang w:val="zh-CN" w:bidi="zh-CN"/>
        </w:rPr>
      </w:pPr>
      <w:r>
        <w:rPr>
          <w:rFonts w:ascii="Times New Roman" w:hAnsi="Times New Roman"/>
          <w:snapToGrid w:val="0"/>
          <w:sz w:val="28"/>
          <w:szCs w:val="28"/>
        </w:rPr>
        <w:drawing>
          <wp:inline distT="0" distB="0" distL="0" distR="0">
            <wp:extent cx="5137150" cy="3854450"/>
            <wp:effectExtent l="0" t="0" r="6350" b="0"/>
            <wp:docPr id="70203835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038350" name="图片 1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5140607" cy="3857199"/>
                    </a:xfrm>
                    <a:prstGeom prst="rect">
                      <a:avLst/>
                    </a:prstGeom>
                    <a:noFill/>
                    <a:ln>
                      <a:noFill/>
                    </a:ln>
                  </pic:spPr>
                </pic:pic>
              </a:graphicData>
            </a:graphic>
          </wp:inline>
        </w:drawing>
      </w:r>
    </w:p>
    <w:p>
      <w:pPr>
        <w:pStyle w:val="15"/>
        <w:adjustRightInd w:val="0"/>
        <w:snapToGrid w:val="0"/>
        <w:spacing w:before="0" w:beforeAutospacing="0" w:after="0" w:afterAutospacing="0" w:line="360" w:lineRule="auto"/>
        <w:jc w:val="center"/>
        <w:rPr>
          <w:rFonts w:ascii="Times New Roman" w:hAnsi="Times New Roman" w:eastAsiaTheme="minorEastAsia"/>
          <w:b/>
          <w:bCs/>
          <w:snapToGrid w:val="0"/>
          <w:sz w:val="28"/>
          <w:szCs w:val="28"/>
        </w:rPr>
      </w:pPr>
    </w:p>
    <w:p>
      <w:pPr>
        <w:widowControl/>
        <w:jc w:val="left"/>
        <w:rPr>
          <w:rFonts w:eastAsiaTheme="minorEastAsia"/>
          <w:snapToGrid w:val="0"/>
          <w:kern w:val="0"/>
          <w:sz w:val="28"/>
          <w:szCs w:val="28"/>
        </w:rPr>
      </w:pPr>
      <w:r>
        <w:rPr>
          <w:rFonts w:eastAsiaTheme="minorEastAsia"/>
          <w:snapToGrid w:val="0"/>
          <w:sz w:val="28"/>
          <w:szCs w:val="28"/>
        </w:rPr>
        <w:br w:type="page"/>
      </w:r>
    </w:p>
    <w:p>
      <w:pPr>
        <w:widowControl/>
        <w:adjustRightInd w:val="0"/>
        <w:snapToGrid w:val="0"/>
        <w:spacing w:line="360" w:lineRule="auto"/>
        <w:jc w:val="left"/>
        <w:outlineLvl w:val="1"/>
        <w:rPr>
          <w:snapToGrid w:val="0"/>
          <w:kern w:val="0"/>
          <w:sz w:val="28"/>
          <w:szCs w:val="28"/>
        </w:rPr>
      </w:pPr>
      <w:bookmarkStart w:id="48" w:name="_Toc210915826"/>
      <w:r>
        <w:rPr>
          <w:rFonts w:hint="eastAsia"/>
          <w:snapToGrid w:val="0"/>
          <w:kern w:val="0"/>
          <w:sz w:val="28"/>
          <w:szCs w:val="28"/>
        </w:rPr>
        <w:t>附件12 环境影响评价文件报批申请</w:t>
      </w:r>
      <w:bookmarkEnd w:id="48"/>
    </w:p>
    <w:p>
      <w:pPr>
        <w:jc w:val="center"/>
        <w:rPr>
          <w:snapToGrid w:val="0"/>
          <w:kern w:val="0"/>
          <w:sz w:val="28"/>
          <w:szCs w:val="28"/>
        </w:rPr>
      </w:pPr>
      <w:r>
        <w:drawing>
          <wp:inline distT="0" distB="0" distL="0" distR="0">
            <wp:extent cx="4768850" cy="7134225"/>
            <wp:effectExtent l="0" t="0" r="0" b="0"/>
            <wp:docPr id="7195596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59601" name="图片 1"/>
                    <pic:cNvPicPr>
                      <a:picLocks noChangeAspect="1"/>
                    </pic:cNvPicPr>
                  </pic:nvPicPr>
                  <pic:blipFill>
                    <a:blip r:embed="rId80"/>
                    <a:stretch>
                      <a:fillRect/>
                    </a:stretch>
                  </pic:blipFill>
                  <pic:spPr>
                    <a:xfrm>
                      <a:off x="0" y="0"/>
                      <a:ext cx="4769937" cy="7135489"/>
                    </a:xfrm>
                    <a:prstGeom prst="rect">
                      <a:avLst/>
                    </a:prstGeom>
                  </pic:spPr>
                </pic:pic>
              </a:graphicData>
            </a:graphic>
          </wp:inline>
        </w:drawing>
      </w:r>
    </w:p>
    <w:p>
      <w:pPr>
        <w:widowControl/>
        <w:jc w:val="left"/>
        <w:rPr>
          <w:snapToGrid w:val="0"/>
          <w:kern w:val="0"/>
          <w:sz w:val="28"/>
          <w:szCs w:val="28"/>
        </w:rPr>
      </w:pPr>
      <w:r>
        <w:rPr>
          <w:snapToGrid w:val="0"/>
          <w:kern w:val="0"/>
          <w:sz w:val="28"/>
          <w:szCs w:val="28"/>
        </w:rPr>
        <w:br w:type="page"/>
      </w:r>
    </w:p>
    <w:p>
      <w:pPr>
        <w:widowControl/>
        <w:adjustRightInd w:val="0"/>
        <w:snapToGrid w:val="0"/>
        <w:spacing w:line="360" w:lineRule="auto"/>
        <w:jc w:val="left"/>
        <w:outlineLvl w:val="1"/>
        <w:rPr>
          <w:snapToGrid w:val="0"/>
          <w:kern w:val="0"/>
          <w:sz w:val="28"/>
          <w:szCs w:val="28"/>
        </w:rPr>
      </w:pPr>
      <w:bookmarkStart w:id="49" w:name="_Toc210915827"/>
      <w:r>
        <w:rPr>
          <w:rFonts w:hint="eastAsia"/>
          <w:snapToGrid w:val="0"/>
          <w:kern w:val="0"/>
          <w:sz w:val="28"/>
          <w:szCs w:val="28"/>
        </w:rPr>
        <w:t>附件13 删除不宜公开信息的说明</w:t>
      </w:r>
      <w:bookmarkEnd w:id="49"/>
    </w:p>
    <w:p>
      <w:pPr>
        <w:jc w:val="center"/>
        <w:rPr>
          <w:snapToGrid w:val="0"/>
          <w:kern w:val="0"/>
          <w:sz w:val="28"/>
          <w:szCs w:val="28"/>
        </w:rPr>
      </w:pPr>
      <w:r>
        <w:drawing>
          <wp:inline distT="0" distB="0" distL="0" distR="0">
            <wp:extent cx="5615940" cy="7839075"/>
            <wp:effectExtent l="0" t="0" r="3810" b="9525"/>
            <wp:docPr id="3091149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14989" name="图片 1"/>
                    <pic:cNvPicPr>
                      <a:picLocks noChangeAspect="1"/>
                    </pic:cNvPicPr>
                  </pic:nvPicPr>
                  <pic:blipFill>
                    <a:blip r:embed="rId81"/>
                    <a:stretch>
                      <a:fillRect/>
                    </a:stretch>
                  </pic:blipFill>
                  <pic:spPr>
                    <a:xfrm>
                      <a:off x="0" y="0"/>
                      <a:ext cx="5615940" cy="7839075"/>
                    </a:xfrm>
                    <a:prstGeom prst="rect">
                      <a:avLst/>
                    </a:prstGeom>
                  </pic:spPr>
                </pic:pic>
              </a:graphicData>
            </a:graphic>
          </wp:inline>
        </w:drawing>
      </w:r>
    </w:p>
    <w:p>
      <w:pPr>
        <w:widowControl/>
        <w:jc w:val="left"/>
        <w:rPr>
          <w:snapToGrid w:val="0"/>
          <w:kern w:val="0"/>
          <w:sz w:val="28"/>
          <w:szCs w:val="28"/>
        </w:rPr>
      </w:pPr>
      <w:r>
        <w:rPr>
          <w:snapToGrid w:val="0"/>
          <w:kern w:val="0"/>
          <w:sz w:val="28"/>
          <w:szCs w:val="28"/>
        </w:rPr>
        <w:br w:type="page"/>
      </w:r>
    </w:p>
    <w:p>
      <w:pPr>
        <w:widowControl/>
        <w:adjustRightInd w:val="0"/>
        <w:snapToGrid w:val="0"/>
        <w:spacing w:line="360" w:lineRule="auto"/>
        <w:jc w:val="left"/>
        <w:outlineLvl w:val="1"/>
        <w:rPr>
          <w:snapToGrid w:val="0"/>
          <w:kern w:val="0"/>
          <w:sz w:val="28"/>
          <w:szCs w:val="28"/>
        </w:rPr>
      </w:pPr>
      <w:bookmarkStart w:id="50" w:name="_Toc210915828"/>
      <w:r>
        <w:rPr>
          <w:rFonts w:hint="eastAsia"/>
          <w:snapToGrid w:val="0"/>
          <w:kern w:val="0"/>
          <w:sz w:val="28"/>
          <w:szCs w:val="28"/>
        </w:rPr>
        <w:t>附件14 项目招商相关部门证明</w:t>
      </w:r>
      <w:bookmarkEnd w:id="50"/>
    </w:p>
    <w:p>
      <w:pPr>
        <w:rPr>
          <w:snapToGrid w:val="0"/>
          <w:kern w:val="0"/>
          <w:sz w:val="28"/>
          <w:szCs w:val="28"/>
        </w:rPr>
      </w:pPr>
    </w:p>
    <w:p>
      <w:pPr>
        <w:jc w:val="center"/>
        <w:rPr>
          <w:snapToGrid w:val="0"/>
          <w:kern w:val="0"/>
          <w:sz w:val="28"/>
          <w:szCs w:val="28"/>
        </w:rPr>
      </w:pPr>
      <w:r>
        <w:rPr>
          <w:snapToGrid w:val="0"/>
          <w:kern w:val="0"/>
          <w:sz w:val="28"/>
          <w:szCs w:val="28"/>
        </w:rPr>
        <w:drawing>
          <wp:inline distT="0" distB="0" distL="0" distR="0">
            <wp:extent cx="5065395" cy="7498080"/>
            <wp:effectExtent l="0" t="0" r="1905" b="7620"/>
            <wp:docPr id="13269521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952160" name="图片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5067778" cy="7500816"/>
                    </a:xfrm>
                    <a:prstGeom prst="rect">
                      <a:avLst/>
                    </a:prstGeom>
                    <a:noFill/>
                    <a:ln>
                      <a:noFill/>
                    </a:ln>
                  </pic:spPr>
                </pic:pic>
              </a:graphicData>
            </a:graphic>
          </wp:inline>
        </w:drawing>
      </w:r>
    </w:p>
    <w:p>
      <w:pPr>
        <w:widowControl/>
        <w:jc w:val="left"/>
        <w:rPr>
          <w:snapToGrid w:val="0"/>
          <w:kern w:val="0"/>
          <w:sz w:val="28"/>
          <w:szCs w:val="28"/>
        </w:rPr>
      </w:pPr>
      <w:r>
        <w:rPr>
          <w:snapToGrid w:val="0"/>
          <w:kern w:val="0"/>
          <w:sz w:val="28"/>
          <w:szCs w:val="28"/>
        </w:rPr>
        <w:br w:type="page"/>
      </w:r>
    </w:p>
    <w:p>
      <w:pPr>
        <w:pStyle w:val="3"/>
        <w:rPr>
          <w:rFonts w:ascii="Times New Roman" w:hAnsi="Times New Roman" w:eastAsia="宋体" w:cs="Times New Roman"/>
          <w:b w:val="0"/>
          <w:bCs w:val="0"/>
          <w:snapToGrid w:val="0"/>
          <w:kern w:val="0"/>
          <w:sz w:val="28"/>
          <w:szCs w:val="28"/>
        </w:rPr>
      </w:pPr>
      <w:bookmarkStart w:id="51" w:name="_Toc210915829"/>
      <w:r>
        <w:rPr>
          <w:rFonts w:hint="eastAsia" w:ascii="Times New Roman" w:hAnsi="Times New Roman" w:eastAsia="宋体" w:cs="Times New Roman"/>
          <w:b w:val="0"/>
          <w:bCs w:val="0"/>
          <w:snapToGrid w:val="0"/>
          <w:kern w:val="0"/>
          <w:sz w:val="28"/>
          <w:szCs w:val="28"/>
        </w:rPr>
        <w:t>附件15 建设单位与环评编制单位的委托合同</w:t>
      </w:r>
      <w:bookmarkEnd w:id="51"/>
    </w:p>
    <w:p>
      <w:pPr>
        <w:rPr>
          <w:b/>
          <w:bCs/>
          <w:snapToGrid w:val="0"/>
          <w:kern w:val="0"/>
          <w:sz w:val="28"/>
          <w:szCs w:val="28"/>
        </w:rPr>
      </w:pPr>
      <w:r>
        <w:drawing>
          <wp:inline distT="0" distB="0" distL="0" distR="0">
            <wp:extent cx="5425440" cy="7823835"/>
            <wp:effectExtent l="0" t="0" r="3810" b="5715"/>
            <wp:docPr id="10763016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01692" name="图片 1"/>
                    <pic:cNvPicPr>
                      <a:picLocks noChangeAspect="1"/>
                    </pic:cNvPicPr>
                  </pic:nvPicPr>
                  <pic:blipFill>
                    <a:blip r:embed="rId83"/>
                    <a:stretch>
                      <a:fillRect/>
                    </a:stretch>
                  </pic:blipFill>
                  <pic:spPr>
                    <a:xfrm>
                      <a:off x="0" y="0"/>
                      <a:ext cx="5425939" cy="7824788"/>
                    </a:xfrm>
                    <a:prstGeom prst="rect">
                      <a:avLst/>
                    </a:prstGeom>
                  </pic:spPr>
                </pic:pic>
              </a:graphicData>
            </a:graphic>
          </wp:inline>
        </w:drawing>
      </w:r>
    </w:p>
    <w:p>
      <w:pPr>
        <w:rPr>
          <w:rFonts w:hint="eastAsia" w:eastAsia="宋体"/>
          <w:snapToGrid w:val="0"/>
          <w:kern w:val="0"/>
          <w:sz w:val="28"/>
          <w:szCs w:val="28"/>
          <w:lang w:eastAsia="zh-CN"/>
        </w:rPr>
      </w:pPr>
      <w:r>
        <w:drawing>
          <wp:inline distT="0" distB="0" distL="0" distR="0">
            <wp:extent cx="5615940" cy="7841615"/>
            <wp:effectExtent l="0" t="0" r="3810" b="6985"/>
            <wp:docPr id="19544450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445069" name="图片 1"/>
                    <pic:cNvPicPr>
                      <a:picLocks noChangeAspect="1"/>
                    </pic:cNvPicPr>
                  </pic:nvPicPr>
                  <pic:blipFill>
                    <a:blip r:embed="rId84"/>
                    <a:stretch>
                      <a:fillRect/>
                    </a:stretch>
                  </pic:blipFill>
                  <pic:spPr>
                    <a:xfrm>
                      <a:off x="0" y="0"/>
                      <a:ext cx="5615940" cy="7841615"/>
                    </a:xfrm>
                    <a:prstGeom prst="rect">
                      <a:avLst/>
                    </a:prstGeom>
                  </pic:spPr>
                </pic:pic>
              </a:graphicData>
            </a:graphic>
          </wp:inline>
        </w:drawing>
      </w:r>
      <w:r>
        <w:drawing>
          <wp:inline distT="0" distB="0" distL="0" distR="0">
            <wp:extent cx="5615940" cy="7840980"/>
            <wp:effectExtent l="0" t="0" r="3810" b="7620"/>
            <wp:docPr id="3585786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78627" name="图片 1"/>
                    <pic:cNvPicPr>
                      <a:picLocks noChangeAspect="1"/>
                    </pic:cNvPicPr>
                  </pic:nvPicPr>
                  <pic:blipFill>
                    <a:blip r:embed="rId85"/>
                    <a:stretch>
                      <a:fillRect/>
                    </a:stretch>
                  </pic:blipFill>
                  <pic:spPr>
                    <a:xfrm>
                      <a:off x="0" y="0"/>
                      <a:ext cx="5615940" cy="7840980"/>
                    </a:xfrm>
                    <a:prstGeom prst="rect">
                      <a:avLst/>
                    </a:prstGeom>
                  </pic:spPr>
                </pic:pic>
              </a:graphicData>
            </a:graphic>
          </wp:inline>
        </w:drawing>
      </w:r>
      <w:r>
        <w:drawing>
          <wp:inline distT="0" distB="0" distL="0" distR="0">
            <wp:extent cx="5615940" cy="8432165"/>
            <wp:effectExtent l="0" t="0" r="3810" b="6985"/>
            <wp:docPr id="2327880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88053" name="图片 1"/>
                    <pic:cNvPicPr>
                      <a:picLocks noChangeAspect="1"/>
                    </pic:cNvPicPr>
                  </pic:nvPicPr>
                  <pic:blipFill>
                    <a:blip r:embed="rId86"/>
                    <a:stretch>
                      <a:fillRect/>
                    </a:stretch>
                  </pic:blipFill>
                  <pic:spPr>
                    <a:xfrm>
                      <a:off x="0" y="0"/>
                      <a:ext cx="5615940" cy="8432165"/>
                    </a:xfrm>
                    <a:prstGeom prst="rect">
                      <a:avLst/>
                    </a:prstGeom>
                  </pic:spPr>
                </pic:pic>
              </a:graphicData>
            </a:graphic>
          </wp:inline>
        </w:drawing>
      </w:r>
      <w:bookmarkStart w:id="53" w:name="_GoBack"/>
      <w:r>
        <w:rPr>
          <w:rFonts w:hint="eastAsia" w:eastAsia="宋体"/>
          <w:snapToGrid w:val="0"/>
          <w:kern w:val="0"/>
          <w:sz w:val="28"/>
          <w:szCs w:val="28"/>
          <w:lang w:eastAsia="zh-CN"/>
        </w:rPr>
        <w:drawing>
          <wp:inline distT="0" distB="0" distL="114300" distR="114300">
            <wp:extent cx="5611495" cy="7934325"/>
            <wp:effectExtent l="0" t="0" r="8255" b="9525"/>
            <wp:docPr id="7" name="图片 7" descr="坦鑫-附件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坦鑫-附件15"/>
                    <pic:cNvPicPr>
                      <a:picLocks noChangeAspect="1"/>
                    </pic:cNvPicPr>
                  </pic:nvPicPr>
                  <pic:blipFill>
                    <a:blip r:embed="rId87"/>
                    <a:stretch>
                      <a:fillRect/>
                    </a:stretch>
                  </pic:blipFill>
                  <pic:spPr>
                    <a:xfrm>
                      <a:off x="0" y="0"/>
                      <a:ext cx="5611495" cy="7934325"/>
                    </a:xfrm>
                    <a:prstGeom prst="rect">
                      <a:avLst/>
                    </a:prstGeom>
                  </pic:spPr>
                </pic:pic>
              </a:graphicData>
            </a:graphic>
          </wp:inline>
        </w:drawing>
      </w:r>
      <w:bookmarkEnd w:id="53"/>
    </w:p>
    <w:p>
      <w:pPr>
        <w:widowControl/>
        <w:jc w:val="left"/>
        <w:rPr>
          <w:rFonts w:eastAsiaTheme="minorEastAsia"/>
          <w:snapToGrid w:val="0"/>
          <w:kern w:val="0"/>
          <w:sz w:val="28"/>
          <w:szCs w:val="28"/>
        </w:rPr>
      </w:pPr>
      <w:r>
        <w:rPr>
          <w:rFonts w:eastAsiaTheme="minorEastAsia"/>
          <w:snapToGrid w:val="0"/>
          <w:kern w:val="0"/>
          <w:sz w:val="28"/>
          <w:szCs w:val="28"/>
        </w:rPr>
        <w:br w:type="page"/>
      </w:r>
    </w:p>
    <w:p>
      <w:pPr>
        <w:pStyle w:val="3"/>
        <w:rPr>
          <w:rFonts w:ascii="Times New Roman" w:hAnsi="Times New Roman" w:eastAsia="宋体" w:cs="Times New Roman"/>
          <w:b w:val="0"/>
          <w:bCs w:val="0"/>
          <w:snapToGrid w:val="0"/>
          <w:kern w:val="0"/>
          <w:sz w:val="28"/>
          <w:szCs w:val="28"/>
        </w:rPr>
      </w:pPr>
      <w:bookmarkStart w:id="52" w:name="_Toc210915830"/>
      <w:r>
        <w:rPr>
          <w:rFonts w:hint="eastAsia" w:ascii="Times New Roman" w:hAnsi="Times New Roman" w:eastAsia="宋体" w:cs="Times New Roman"/>
          <w:b w:val="0"/>
          <w:bCs w:val="0"/>
          <w:snapToGrid w:val="0"/>
          <w:kern w:val="0"/>
          <w:sz w:val="28"/>
          <w:szCs w:val="28"/>
        </w:rPr>
        <w:t>附件16 公示截图</w:t>
      </w:r>
      <w:bookmarkEnd w:id="52"/>
    </w:p>
    <w:p>
      <w:pPr>
        <w:rPr>
          <w:rFonts w:eastAsiaTheme="minorEastAsia"/>
          <w:snapToGrid w:val="0"/>
          <w:kern w:val="0"/>
          <w:sz w:val="28"/>
          <w:szCs w:val="28"/>
        </w:rPr>
      </w:pPr>
      <w:r>
        <w:drawing>
          <wp:inline distT="0" distB="0" distL="0" distR="0">
            <wp:extent cx="5615940" cy="2887345"/>
            <wp:effectExtent l="0" t="0" r="3810" b="8255"/>
            <wp:docPr id="19237610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761065" name="图片 1"/>
                    <pic:cNvPicPr>
                      <a:picLocks noChangeAspect="1"/>
                    </pic:cNvPicPr>
                  </pic:nvPicPr>
                  <pic:blipFill>
                    <a:blip r:embed="rId88"/>
                    <a:stretch>
                      <a:fillRect/>
                    </a:stretch>
                  </pic:blipFill>
                  <pic:spPr>
                    <a:xfrm>
                      <a:off x="0" y="0"/>
                      <a:ext cx="5615940" cy="2887345"/>
                    </a:xfrm>
                    <a:prstGeom prst="rect">
                      <a:avLst/>
                    </a:prstGeom>
                  </pic:spPr>
                </pic:pic>
              </a:graphicData>
            </a:graphic>
          </wp:inline>
        </w:drawing>
      </w:r>
    </w:p>
    <w:sectPr>
      <w:pgSz w:w="11906" w:h="16838"/>
      <w:pgMar w:top="1701" w:right="1531" w:bottom="1701" w:left="153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Nimbus Roman No9 L">
    <w:panose1 w:val="00000000000000000000"/>
    <w:charset w:val="00"/>
    <w:family w:val="auto"/>
    <w:pitch w:val="default"/>
    <w:sig w:usb0="00000000" w:usb1="00000000" w:usb2="00000000" w:usb3="00000000" w:csb0="00000000" w:csb1="00000000"/>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font>
  <w:font w:name="方正书宋_GBK">
    <w:panose1 w:val="02000000000000000000"/>
    <w:charset w:val="86"/>
    <w:family w:val="auto"/>
    <w:pitch w:val="default"/>
    <w:sig w:usb0="00000001" w:usb1="08000000" w:usb2="00000000" w:usb3="00000000" w:csb0="00040000" w:csb1="00000000"/>
  </w:font>
  <w:font w:name="等线 Light">
    <w:altName w:val="华文中宋"/>
    <w:panose1 w:val="02010600030101010101"/>
    <w:charset w:val="86"/>
    <w:family w:val="auto"/>
    <w:pitch w:val="default"/>
    <w:sig w:usb0="00000000" w:usb1="00000000" w:usb2="00000016" w:usb3="00000000" w:csb0="0004000F" w:csb1="00000000"/>
  </w:font>
  <w:font w:name="华文中宋">
    <w:panose1 w:val="02010600040101010101"/>
    <w:charset w:val="86"/>
    <w:family w:val="auto"/>
    <w:pitch w:val="default"/>
    <w:sig w:usb0="00000287" w:usb1="080F0000" w:usb2="00000000" w:usb3="00000000" w:csb0="0004009F" w:csb1="DFD70000"/>
  </w:font>
  <w:font w:name="等线">
    <w:altName w:val="华文中宋"/>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Wingdings 2">
    <w:panose1 w:val="05020102010507070707"/>
    <w:charset w:val="02"/>
    <w:family w:val="roman"/>
    <w:pitch w:val="default"/>
    <w:sig w:usb0="00000000" w:usb1="00000000" w:usb2="00000000" w:usb3="00000000" w:csb0="80000000" w:csb1="00000000"/>
  </w:font>
  <w:font w:name="方正仿宋_GBK">
    <w:panose1 w:val="02000000000000000000"/>
    <w:charset w:val="86"/>
    <w:family w:val="auto"/>
    <w:pitch w:val="default"/>
    <w:sig w:usb0="00000001" w:usb1="08000000" w:usb2="00000000" w:usb3="00000000" w:csb0="00040000" w:csb1="00000000"/>
  </w:font>
  <w:font w:name="等线 Light">
    <w:altName w:val="仿宋"/>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framePr w:wrap="around" w:vAnchor="text" w:hAnchor="margin" w:xAlign="center" w:y="1"/>
      <w:ind w:firstLine="360"/>
      <w:rPr>
        <w:rStyle w:val="23"/>
      </w:rPr>
    </w:pPr>
    <w:r>
      <w:fldChar w:fldCharType="begin"/>
    </w:r>
    <w:r>
      <w:rPr>
        <w:rStyle w:val="23"/>
      </w:rPr>
      <w:instrText xml:space="preserve">PAGE  </w:instrText>
    </w:r>
    <w:r>
      <w:fldChar w:fldCharType="separate"/>
    </w:r>
    <w:r>
      <w:rPr>
        <w:rStyle w:val="23"/>
      </w:rPr>
      <w:t>11</w:t>
    </w:r>
    <w:r>
      <w:fldChar w:fldCharType="end"/>
    </w:r>
  </w:p>
  <w:p>
    <w:pPr>
      <w:pStyle w:val="11"/>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framePr w:wrap="around" w:vAnchor="text" w:hAnchor="page" w:x="8790" w:y="42"/>
      <w:ind w:firstLine="560"/>
      <w:rPr>
        <w:rStyle w:val="23"/>
        <w:rFonts w:hint="eastAsia" w:ascii="宋体" w:hAnsi="宋体"/>
        <w:sz w:val="28"/>
        <w:szCs w:val="28"/>
      </w:rPr>
    </w:pPr>
    <w:r>
      <w:rPr>
        <w:rStyle w:val="23"/>
        <w:rFonts w:hint="eastAsia" w:ascii="宋体" w:hAnsi="宋体"/>
        <w:sz w:val="28"/>
        <w:szCs w:val="28"/>
      </w:rPr>
      <w:t xml:space="preserve">— </w:t>
    </w:r>
    <w:r>
      <w:rPr>
        <w:rStyle w:val="23"/>
        <w:rFonts w:ascii="宋体" w:hAnsi="宋体"/>
        <w:sz w:val="28"/>
        <w:szCs w:val="28"/>
      </w:rPr>
      <w:fldChar w:fldCharType="begin"/>
    </w:r>
    <w:r>
      <w:rPr>
        <w:rStyle w:val="23"/>
        <w:rFonts w:ascii="宋体" w:hAnsi="宋体"/>
        <w:sz w:val="28"/>
        <w:szCs w:val="28"/>
      </w:rPr>
      <w:instrText xml:space="preserve">PAGE  </w:instrText>
    </w:r>
    <w:r>
      <w:rPr>
        <w:rStyle w:val="23"/>
        <w:rFonts w:ascii="宋体" w:hAnsi="宋体"/>
        <w:sz w:val="28"/>
        <w:szCs w:val="28"/>
      </w:rPr>
      <w:fldChar w:fldCharType="separate"/>
    </w:r>
    <w:r>
      <w:rPr>
        <w:rStyle w:val="23"/>
        <w:rFonts w:ascii="宋体" w:hAnsi="宋体"/>
        <w:sz w:val="28"/>
        <w:szCs w:val="28"/>
      </w:rPr>
      <w:t>18</w:t>
    </w:r>
    <w:r>
      <w:rPr>
        <w:rStyle w:val="23"/>
        <w:rFonts w:ascii="宋体" w:hAnsi="宋体"/>
        <w:sz w:val="28"/>
        <w:szCs w:val="28"/>
      </w:rPr>
      <w:fldChar w:fldCharType="end"/>
    </w:r>
    <w:r>
      <w:rPr>
        <w:rStyle w:val="23"/>
        <w:rFonts w:hint="eastAsia" w:ascii="宋体" w:hAnsi="宋体"/>
        <w:sz w:val="28"/>
        <w:szCs w:val="28"/>
      </w:rPr>
      <w:t xml:space="preserve"> —</w:t>
    </w:r>
  </w:p>
  <w:p>
    <w:pPr>
      <w:pStyle w:val="11"/>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framePr w:wrap="around" w:vAnchor="text" w:hAnchor="page" w:x="8559" w:y="-292"/>
      <w:ind w:firstLine="560"/>
      <w:rPr>
        <w:rStyle w:val="23"/>
        <w:sz w:val="28"/>
        <w:szCs w:val="28"/>
      </w:rPr>
    </w:pPr>
    <w:r>
      <w:rPr>
        <w:rStyle w:val="23"/>
        <w:sz w:val="28"/>
        <w:szCs w:val="28"/>
      </w:rPr>
      <w:t>—</w:t>
    </w:r>
    <w:r>
      <w:rPr>
        <w:rStyle w:val="23"/>
        <w:sz w:val="20"/>
      </w:rPr>
      <w:t xml:space="preserve">  </w:t>
    </w:r>
    <w:r>
      <w:rPr>
        <w:rStyle w:val="23"/>
        <w:sz w:val="26"/>
        <w:szCs w:val="26"/>
      </w:rPr>
      <w:fldChar w:fldCharType="begin"/>
    </w:r>
    <w:r>
      <w:rPr>
        <w:rStyle w:val="23"/>
        <w:sz w:val="26"/>
        <w:szCs w:val="26"/>
      </w:rPr>
      <w:instrText xml:space="preserve">PAGE  </w:instrText>
    </w:r>
    <w:r>
      <w:rPr>
        <w:rStyle w:val="23"/>
        <w:sz w:val="26"/>
        <w:szCs w:val="26"/>
      </w:rPr>
      <w:fldChar w:fldCharType="separate"/>
    </w:r>
    <w:r>
      <w:rPr>
        <w:rStyle w:val="23"/>
        <w:sz w:val="26"/>
        <w:szCs w:val="26"/>
      </w:rPr>
      <w:t>25</w:t>
    </w:r>
    <w:r>
      <w:rPr>
        <w:rStyle w:val="23"/>
        <w:sz w:val="26"/>
        <w:szCs w:val="26"/>
      </w:rPr>
      <w:fldChar w:fldCharType="end"/>
    </w:r>
    <w:r>
      <w:rPr>
        <w:rStyle w:val="23"/>
        <w:sz w:val="20"/>
      </w:rPr>
      <w:t xml:space="preserve">  </w:t>
    </w:r>
    <w:r>
      <w:rPr>
        <w:rStyle w:val="23"/>
        <w:sz w:val="28"/>
        <w:szCs w:val="28"/>
      </w:rPr>
      <w:t>—</w:t>
    </w:r>
  </w:p>
  <w:p>
    <w:pPr>
      <w:pStyle w:val="11"/>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framePr w:wrap="around" w:vAnchor="text" w:hAnchor="page" w:x="8681" w:y="-116"/>
      <w:ind w:firstLine="560"/>
      <w:rPr>
        <w:rStyle w:val="23"/>
        <w:rFonts w:hint="eastAsia" w:ascii="宋体" w:hAnsi="宋体"/>
        <w:sz w:val="28"/>
        <w:szCs w:val="28"/>
      </w:rPr>
    </w:pPr>
    <w:r>
      <w:rPr>
        <w:rStyle w:val="23"/>
        <w:rFonts w:hint="eastAsia" w:ascii="宋体" w:hAnsi="宋体"/>
        <w:sz w:val="28"/>
        <w:szCs w:val="28"/>
      </w:rPr>
      <w:t>—</w:t>
    </w:r>
    <w:r>
      <w:rPr>
        <w:rStyle w:val="23"/>
        <w:rFonts w:hint="eastAsia" w:ascii="宋体" w:hAnsi="宋体"/>
        <w:sz w:val="20"/>
      </w:rPr>
      <w:t xml:space="preserve">  </w:t>
    </w:r>
    <w:r>
      <w:rPr>
        <w:rStyle w:val="23"/>
        <w:sz w:val="26"/>
        <w:szCs w:val="26"/>
      </w:rPr>
      <w:fldChar w:fldCharType="begin"/>
    </w:r>
    <w:r>
      <w:rPr>
        <w:rStyle w:val="23"/>
        <w:sz w:val="26"/>
        <w:szCs w:val="26"/>
      </w:rPr>
      <w:instrText xml:space="preserve">PAGE  </w:instrText>
    </w:r>
    <w:r>
      <w:rPr>
        <w:rStyle w:val="23"/>
        <w:sz w:val="26"/>
        <w:szCs w:val="26"/>
      </w:rPr>
      <w:fldChar w:fldCharType="separate"/>
    </w:r>
    <w:r>
      <w:rPr>
        <w:rStyle w:val="23"/>
        <w:sz w:val="26"/>
        <w:szCs w:val="26"/>
      </w:rPr>
      <w:t>60</w:t>
    </w:r>
    <w:r>
      <w:rPr>
        <w:rStyle w:val="23"/>
        <w:sz w:val="26"/>
        <w:szCs w:val="26"/>
      </w:rPr>
      <w:fldChar w:fldCharType="end"/>
    </w:r>
    <w:r>
      <w:rPr>
        <w:rStyle w:val="23"/>
        <w:rFonts w:hint="eastAsia" w:ascii="宋体" w:hAnsi="宋体"/>
        <w:sz w:val="20"/>
      </w:rPr>
      <w:t xml:space="preserve">  </w:t>
    </w:r>
    <w:r>
      <w:rPr>
        <w:rStyle w:val="23"/>
        <w:rFonts w:hint="eastAsia" w:ascii="宋体" w:hAnsi="宋体"/>
        <w:sz w:val="28"/>
        <w:szCs w:val="28"/>
      </w:rPr>
      <w:t>—</w:t>
    </w:r>
  </w:p>
  <w:p>
    <w:pPr>
      <w:pStyle w:val="11"/>
      <w:ind w:right="360"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framePr w:wrap="around" w:vAnchor="text" w:hAnchor="page" w:x="8614" w:y="-34"/>
      <w:ind w:firstLine="560"/>
      <w:rPr>
        <w:rStyle w:val="23"/>
        <w:rFonts w:hint="eastAsia" w:ascii="宋体" w:hAnsi="宋体"/>
        <w:sz w:val="28"/>
        <w:szCs w:val="28"/>
      </w:rPr>
    </w:pPr>
    <w:r>
      <w:rPr>
        <w:rStyle w:val="23"/>
        <w:rFonts w:hint="eastAsia" w:ascii="宋体" w:hAnsi="宋体"/>
        <w:sz w:val="28"/>
        <w:szCs w:val="28"/>
      </w:rPr>
      <w:t>—</w:t>
    </w:r>
    <w:r>
      <w:rPr>
        <w:rStyle w:val="23"/>
        <w:rFonts w:hint="eastAsia" w:ascii="宋体" w:hAnsi="宋体"/>
        <w:sz w:val="20"/>
      </w:rPr>
      <w:t xml:space="preserve"> </w:t>
    </w:r>
    <w:r>
      <w:rPr>
        <w:rStyle w:val="23"/>
        <w:sz w:val="20"/>
      </w:rPr>
      <w:t xml:space="preserve"> </w:t>
    </w:r>
    <w:r>
      <w:rPr>
        <w:rStyle w:val="23"/>
        <w:sz w:val="26"/>
        <w:szCs w:val="26"/>
      </w:rPr>
      <w:fldChar w:fldCharType="begin"/>
    </w:r>
    <w:r>
      <w:rPr>
        <w:rStyle w:val="23"/>
        <w:sz w:val="26"/>
        <w:szCs w:val="26"/>
      </w:rPr>
      <w:instrText xml:space="preserve">PAGE  </w:instrText>
    </w:r>
    <w:r>
      <w:rPr>
        <w:rStyle w:val="23"/>
        <w:sz w:val="26"/>
        <w:szCs w:val="26"/>
      </w:rPr>
      <w:fldChar w:fldCharType="separate"/>
    </w:r>
    <w:r>
      <w:rPr>
        <w:rStyle w:val="23"/>
        <w:sz w:val="26"/>
        <w:szCs w:val="26"/>
      </w:rPr>
      <w:t>60</w:t>
    </w:r>
    <w:r>
      <w:rPr>
        <w:rStyle w:val="23"/>
        <w:sz w:val="26"/>
        <w:szCs w:val="26"/>
      </w:rPr>
      <w:fldChar w:fldCharType="end"/>
    </w:r>
    <w:r>
      <w:rPr>
        <w:rStyle w:val="23"/>
        <w:rFonts w:hint="eastAsia" w:ascii="宋体" w:hAnsi="宋体"/>
        <w:sz w:val="20"/>
      </w:rPr>
      <w:t xml:space="preserve">  </w:t>
    </w:r>
    <w:r>
      <w:rPr>
        <w:rStyle w:val="23"/>
        <w:rFonts w:hint="eastAsia" w:ascii="宋体" w:hAnsi="宋体"/>
        <w:sz w:val="28"/>
        <w:szCs w:val="28"/>
      </w:rPr>
      <w:t>—</w:t>
    </w:r>
  </w:p>
  <w:p>
    <w:pPr>
      <w:pStyle w:val="11"/>
      <w:ind w:right="360" w:firstLine="360"/>
      <w:jc w:val="cente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0"/>
  <w:displayVerticalDrawingGridEvery w:val="2"/>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4947"/>
    <w:rsid w:val="000000F3"/>
    <w:rsid w:val="000007D9"/>
    <w:rsid w:val="00000C03"/>
    <w:rsid w:val="00000DDA"/>
    <w:rsid w:val="00000DFE"/>
    <w:rsid w:val="0000114A"/>
    <w:rsid w:val="00001204"/>
    <w:rsid w:val="00001232"/>
    <w:rsid w:val="00001987"/>
    <w:rsid w:val="00001D9E"/>
    <w:rsid w:val="000027EB"/>
    <w:rsid w:val="00002801"/>
    <w:rsid w:val="00002C9B"/>
    <w:rsid w:val="00002CED"/>
    <w:rsid w:val="00002D41"/>
    <w:rsid w:val="00002E18"/>
    <w:rsid w:val="00003206"/>
    <w:rsid w:val="00003FA5"/>
    <w:rsid w:val="000040B8"/>
    <w:rsid w:val="000042EB"/>
    <w:rsid w:val="00004730"/>
    <w:rsid w:val="00004D7C"/>
    <w:rsid w:val="00005397"/>
    <w:rsid w:val="0000570C"/>
    <w:rsid w:val="000060B3"/>
    <w:rsid w:val="00006A72"/>
    <w:rsid w:val="000073CD"/>
    <w:rsid w:val="000078DF"/>
    <w:rsid w:val="00010049"/>
    <w:rsid w:val="00010053"/>
    <w:rsid w:val="00010415"/>
    <w:rsid w:val="00010B88"/>
    <w:rsid w:val="00010DA9"/>
    <w:rsid w:val="00010E03"/>
    <w:rsid w:val="00011341"/>
    <w:rsid w:val="00011650"/>
    <w:rsid w:val="00012601"/>
    <w:rsid w:val="00012C9F"/>
    <w:rsid w:val="000135E8"/>
    <w:rsid w:val="00013C8F"/>
    <w:rsid w:val="00013D70"/>
    <w:rsid w:val="00013D9A"/>
    <w:rsid w:val="00013DB2"/>
    <w:rsid w:val="00014174"/>
    <w:rsid w:val="0001441C"/>
    <w:rsid w:val="00014546"/>
    <w:rsid w:val="000155BC"/>
    <w:rsid w:val="00017EDD"/>
    <w:rsid w:val="00020266"/>
    <w:rsid w:val="00021065"/>
    <w:rsid w:val="00021B78"/>
    <w:rsid w:val="00022022"/>
    <w:rsid w:val="000226C1"/>
    <w:rsid w:val="00022A43"/>
    <w:rsid w:val="00022B9A"/>
    <w:rsid w:val="00022F93"/>
    <w:rsid w:val="000236EA"/>
    <w:rsid w:val="00024764"/>
    <w:rsid w:val="000254C4"/>
    <w:rsid w:val="000257A5"/>
    <w:rsid w:val="0002645B"/>
    <w:rsid w:val="000264A2"/>
    <w:rsid w:val="00026709"/>
    <w:rsid w:val="00026FAB"/>
    <w:rsid w:val="00026FC6"/>
    <w:rsid w:val="00027792"/>
    <w:rsid w:val="000278D5"/>
    <w:rsid w:val="000300DB"/>
    <w:rsid w:val="0003019B"/>
    <w:rsid w:val="00030CB7"/>
    <w:rsid w:val="0003103C"/>
    <w:rsid w:val="000315BA"/>
    <w:rsid w:val="00032177"/>
    <w:rsid w:val="0003273B"/>
    <w:rsid w:val="00032A58"/>
    <w:rsid w:val="00032D86"/>
    <w:rsid w:val="00033476"/>
    <w:rsid w:val="00033B3A"/>
    <w:rsid w:val="00033F31"/>
    <w:rsid w:val="000344C2"/>
    <w:rsid w:val="00035979"/>
    <w:rsid w:val="000359E3"/>
    <w:rsid w:val="00035F07"/>
    <w:rsid w:val="00036C79"/>
    <w:rsid w:val="00036DB6"/>
    <w:rsid w:val="000375CF"/>
    <w:rsid w:val="00037CA8"/>
    <w:rsid w:val="00037D5E"/>
    <w:rsid w:val="0004014C"/>
    <w:rsid w:val="000403D3"/>
    <w:rsid w:val="000407E0"/>
    <w:rsid w:val="00040876"/>
    <w:rsid w:val="00040CEA"/>
    <w:rsid w:val="000417CD"/>
    <w:rsid w:val="0004256D"/>
    <w:rsid w:val="00042E76"/>
    <w:rsid w:val="00042EDA"/>
    <w:rsid w:val="0004364B"/>
    <w:rsid w:val="0004375E"/>
    <w:rsid w:val="00043A5F"/>
    <w:rsid w:val="00043C04"/>
    <w:rsid w:val="0004466A"/>
    <w:rsid w:val="00044AFF"/>
    <w:rsid w:val="00045BB7"/>
    <w:rsid w:val="0004605B"/>
    <w:rsid w:val="00046F41"/>
    <w:rsid w:val="0004747E"/>
    <w:rsid w:val="00047A0E"/>
    <w:rsid w:val="00047E0C"/>
    <w:rsid w:val="00050262"/>
    <w:rsid w:val="000502FF"/>
    <w:rsid w:val="00050EFE"/>
    <w:rsid w:val="000511C4"/>
    <w:rsid w:val="00051223"/>
    <w:rsid w:val="000512A7"/>
    <w:rsid w:val="000516BB"/>
    <w:rsid w:val="00051CAC"/>
    <w:rsid w:val="00052129"/>
    <w:rsid w:val="00052650"/>
    <w:rsid w:val="0005275F"/>
    <w:rsid w:val="000530B0"/>
    <w:rsid w:val="0005367B"/>
    <w:rsid w:val="00054517"/>
    <w:rsid w:val="00054592"/>
    <w:rsid w:val="0005485C"/>
    <w:rsid w:val="0005557F"/>
    <w:rsid w:val="000562CF"/>
    <w:rsid w:val="000565ED"/>
    <w:rsid w:val="00056E4D"/>
    <w:rsid w:val="00057134"/>
    <w:rsid w:val="00057255"/>
    <w:rsid w:val="00057491"/>
    <w:rsid w:val="00057B8E"/>
    <w:rsid w:val="00057D62"/>
    <w:rsid w:val="00060464"/>
    <w:rsid w:val="00060D1A"/>
    <w:rsid w:val="0006113F"/>
    <w:rsid w:val="00061555"/>
    <w:rsid w:val="00061B1F"/>
    <w:rsid w:val="00062083"/>
    <w:rsid w:val="000633B2"/>
    <w:rsid w:val="0006370F"/>
    <w:rsid w:val="000642F6"/>
    <w:rsid w:val="000657EE"/>
    <w:rsid w:val="00065DB5"/>
    <w:rsid w:val="00065E77"/>
    <w:rsid w:val="00066232"/>
    <w:rsid w:val="00066FD0"/>
    <w:rsid w:val="00067116"/>
    <w:rsid w:val="00067816"/>
    <w:rsid w:val="00067941"/>
    <w:rsid w:val="00067F69"/>
    <w:rsid w:val="00067F8C"/>
    <w:rsid w:val="0007017C"/>
    <w:rsid w:val="0007033C"/>
    <w:rsid w:val="00070551"/>
    <w:rsid w:val="00070D6C"/>
    <w:rsid w:val="000715D3"/>
    <w:rsid w:val="00072254"/>
    <w:rsid w:val="000733C4"/>
    <w:rsid w:val="000736B5"/>
    <w:rsid w:val="00073A0B"/>
    <w:rsid w:val="00074783"/>
    <w:rsid w:val="00074BD9"/>
    <w:rsid w:val="000760B6"/>
    <w:rsid w:val="00076BA3"/>
    <w:rsid w:val="00076DD7"/>
    <w:rsid w:val="00077E1A"/>
    <w:rsid w:val="00080558"/>
    <w:rsid w:val="0008070B"/>
    <w:rsid w:val="000808D8"/>
    <w:rsid w:val="000810AC"/>
    <w:rsid w:val="000811CC"/>
    <w:rsid w:val="00081949"/>
    <w:rsid w:val="00081A02"/>
    <w:rsid w:val="00081DB7"/>
    <w:rsid w:val="00082231"/>
    <w:rsid w:val="000825C3"/>
    <w:rsid w:val="00082A56"/>
    <w:rsid w:val="00082B93"/>
    <w:rsid w:val="0008409C"/>
    <w:rsid w:val="000849A8"/>
    <w:rsid w:val="00084EBB"/>
    <w:rsid w:val="00084F41"/>
    <w:rsid w:val="00085107"/>
    <w:rsid w:val="00085306"/>
    <w:rsid w:val="000854E9"/>
    <w:rsid w:val="000861B3"/>
    <w:rsid w:val="000867F2"/>
    <w:rsid w:val="000870C3"/>
    <w:rsid w:val="0008796F"/>
    <w:rsid w:val="00092415"/>
    <w:rsid w:val="00092D38"/>
    <w:rsid w:val="000932A2"/>
    <w:rsid w:val="0009363A"/>
    <w:rsid w:val="0009377B"/>
    <w:rsid w:val="00093E1F"/>
    <w:rsid w:val="00094BE8"/>
    <w:rsid w:val="00095038"/>
    <w:rsid w:val="00095077"/>
    <w:rsid w:val="000951D5"/>
    <w:rsid w:val="0009678D"/>
    <w:rsid w:val="00097464"/>
    <w:rsid w:val="000979BB"/>
    <w:rsid w:val="000A0007"/>
    <w:rsid w:val="000A095E"/>
    <w:rsid w:val="000A0ACF"/>
    <w:rsid w:val="000A0AEE"/>
    <w:rsid w:val="000A1529"/>
    <w:rsid w:val="000A1AE9"/>
    <w:rsid w:val="000A20C9"/>
    <w:rsid w:val="000A2D01"/>
    <w:rsid w:val="000A2EC9"/>
    <w:rsid w:val="000A324D"/>
    <w:rsid w:val="000A32A1"/>
    <w:rsid w:val="000A343A"/>
    <w:rsid w:val="000A3A23"/>
    <w:rsid w:val="000A3ADE"/>
    <w:rsid w:val="000A3F3A"/>
    <w:rsid w:val="000A437F"/>
    <w:rsid w:val="000A44E3"/>
    <w:rsid w:val="000A54E8"/>
    <w:rsid w:val="000A57AA"/>
    <w:rsid w:val="000A5B3D"/>
    <w:rsid w:val="000A616C"/>
    <w:rsid w:val="000A6EF8"/>
    <w:rsid w:val="000A71AE"/>
    <w:rsid w:val="000A7339"/>
    <w:rsid w:val="000A742D"/>
    <w:rsid w:val="000A751C"/>
    <w:rsid w:val="000A7597"/>
    <w:rsid w:val="000B058F"/>
    <w:rsid w:val="000B080D"/>
    <w:rsid w:val="000B0E08"/>
    <w:rsid w:val="000B1560"/>
    <w:rsid w:val="000B1D10"/>
    <w:rsid w:val="000B1DBD"/>
    <w:rsid w:val="000B2DF9"/>
    <w:rsid w:val="000B3184"/>
    <w:rsid w:val="000B333B"/>
    <w:rsid w:val="000B3373"/>
    <w:rsid w:val="000B3DD5"/>
    <w:rsid w:val="000B4467"/>
    <w:rsid w:val="000B45A3"/>
    <w:rsid w:val="000B4DB9"/>
    <w:rsid w:val="000B4E8D"/>
    <w:rsid w:val="000B505E"/>
    <w:rsid w:val="000B52BB"/>
    <w:rsid w:val="000B6647"/>
    <w:rsid w:val="000B6A6B"/>
    <w:rsid w:val="000B7EE7"/>
    <w:rsid w:val="000C0416"/>
    <w:rsid w:val="000C09AC"/>
    <w:rsid w:val="000C1236"/>
    <w:rsid w:val="000C167F"/>
    <w:rsid w:val="000C1AFE"/>
    <w:rsid w:val="000C1BE8"/>
    <w:rsid w:val="000C2A27"/>
    <w:rsid w:val="000C2AE7"/>
    <w:rsid w:val="000C2C8A"/>
    <w:rsid w:val="000C3974"/>
    <w:rsid w:val="000C507B"/>
    <w:rsid w:val="000C554C"/>
    <w:rsid w:val="000C5F4F"/>
    <w:rsid w:val="000C6212"/>
    <w:rsid w:val="000C6EC7"/>
    <w:rsid w:val="000C6FBB"/>
    <w:rsid w:val="000C7381"/>
    <w:rsid w:val="000C767F"/>
    <w:rsid w:val="000D0150"/>
    <w:rsid w:val="000D02A1"/>
    <w:rsid w:val="000D09BA"/>
    <w:rsid w:val="000D130D"/>
    <w:rsid w:val="000D1540"/>
    <w:rsid w:val="000D1703"/>
    <w:rsid w:val="000D1D4A"/>
    <w:rsid w:val="000D2A4C"/>
    <w:rsid w:val="000D2F09"/>
    <w:rsid w:val="000D335B"/>
    <w:rsid w:val="000D335E"/>
    <w:rsid w:val="000D3757"/>
    <w:rsid w:val="000D3DD6"/>
    <w:rsid w:val="000D559E"/>
    <w:rsid w:val="000D5A44"/>
    <w:rsid w:val="000D5B08"/>
    <w:rsid w:val="000D6051"/>
    <w:rsid w:val="000D6329"/>
    <w:rsid w:val="000D6AA0"/>
    <w:rsid w:val="000D7832"/>
    <w:rsid w:val="000D7F32"/>
    <w:rsid w:val="000E02A7"/>
    <w:rsid w:val="000E0332"/>
    <w:rsid w:val="000E06DB"/>
    <w:rsid w:val="000E0D8B"/>
    <w:rsid w:val="000E0EB2"/>
    <w:rsid w:val="000E1047"/>
    <w:rsid w:val="000E16D5"/>
    <w:rsid w:val="000E177F"/>
    <w:rsid w:val="000E1A3A"/>
    <w:rsid w:val="000E2113"/>
    <w:rsid w:val="000E2190"/>
    <w:rsid w:val="000E25F2"/>
    <w:rsid w:val="000E2D2D"/>
    <w:rsid w:val="000E2E2F"/>
    <w:rsid w:val="000E3140"/>
    <w:rsid w:val="000E371B"/>
    <w:rsid w:val="000E3917"/>
    <w:rsid w:val="000E3ED2"/>
    <w:rsid w:val="000E4AA0"/>
    <w:rsid w:val="000E4E59"/>
    <w:rsid w:val="000E5962"/>
    <w:rsid w:val="000E668C"/>
    <w:rsid w:val="000E73AB"/>
    <w:rsid w:val="000E7631"/>
    <w:rsid w:val="000E787D"/>
    <w:rsid w:val="000E78EE"/>
    <w:rsid w:val="000E7D2C"/>
    <w:rsid w:val="000F01AB"/>
    <w:rsid w:val="000F041B"/>
    <w:rsid w:val="000F08B1"/>
    <w:rsid w:val="000F199A"/>
    <w:rsid w:val="000F1F16"/>
    <w:rsid w:val="000F231B"/>
    <w:rsid w:val="000F26C6"/>
    <w:rsid w:val="000F3370"/>
    <w:rsid w:val="000F4021"/>
    <w:rsid w:val="000F4057"/>
    <w:rsid w:val="000F497F"/>
    <w:rsid w:val="000F4C0D"/>
    <w:rsid w:val="000F568D"/>
    <w:rsid w:val="000F6063"/>
    <w:rsid w:val="000F6805"/>
    <w:rsid w:val="000F6CA0"/>
    <w:rsid w:val="000F71AD"/>
    <w:rsid w:val="000F724C"/>
    <w:rsid w:val="000F7488"/>
    <w:rsid w:val="000F7A96"/>
    <w:rsid w:val="0010035C"/>
    <w:rsid w:val="001004DA"/>
    <w:rsid w:val="00100520"/>
    <w:rsid w:val="001009DB"/>
    <w:rsid w:val="0010127B"/>
    <w:rsid w:val="00102557"/>
    <w:rsid w:val="00102B3A"/>
    <w:rsid w:val="0010370E"/>
    <w:rsid w:val="00103BB2"/>
    <w:rsid w:val="00103C0C"/>
    <w:rsid w:val="00103C54"/>
    <w:rsid w:val="0010440A"/>
    <w:rsid w:val="0010444D"/>
    <w:rsid w:val="001045A9"/>
    <w:rsid w:val="00104D33"/>
    <w:rsid w:val="00105BD2"/>
    <w:rsid w:val="0010642D"/>
    <w:rsid w:val="00106734"/>
    <w:rsid w:val="001070B7"/>
    <w:rsid w:val="001070F4"/>
    <w:rsid w:val="00107104"/>
    <w:rsid w:val="0010713B"/>
    <w:rsid w:val="001071E5"/>
    <w:rsid w:val="00110D98"/>
    <w:rsid w:val="0011139A"/>
    <w:rsid w:val="00111A36"/>
    <w:rsid w:val="00111CE5"/>
    <w:rsid w:val="0011201B"/>
    <w:rsid w:val="00112143"/>
    <w:rsid w:val="0011251A"/>
    <w:rsid w:val="00112768"/>
    <w:rsid w:val="00112BEE"/>
    <w:rsid w:val="0011305F"/>
    <w:rsid w:val="00113309"/>
    <w:rsid w:val="00113364"/>
    <w:rsid w:val="001138A4"/>
    <w:rsid w:val="00113FB4"/>
    <w:rsid w:val="001141A5"/>
    <w:rsid w:val="0011465C"/>
    <w:rsid w:val="00114974"/>
    <w:rsid w:val="00114E0B"/>
    <w:rsid w:val="00115360"/>
    <w:rsid w:val="001153A6"/>
    <w:rsid w:val="0011581E"/>
    <w:rsid w:val="00115B50"/>
    <w:rsid w:val="001163F3"/>
    <w:rsid w:val="00116A59"/>
    <w:rsid w:val="00116AF7"/>
    <w:rsid w:val="00116EFB"/>
    <w:rsid w:val="00116FC4"/>
    <w:rsid w:val="00117241"/>
    <w:rsid w:val="00117582"/>
    <w:rsid w:val="001206D4"/>
    <w:rsid w:val="00120A3F"/>
    <w:rsid w:val="00121D33"/>
    <w:rsid w:val="00121FBF"/>
    <w:rsid w:val="001222F2"/>
    <w:rsid w:val="00122884"/>
    <w:rsid w:val="00122BB8"/>
    <w:rsid w:val="001232C3"/>
    <w:rsid w:val="00123538"/>
    <w:rsid w:val="001255ED"/>
    <w:rsid w:val="00125B1F"/>
    <w:rsid w:val="00126A8F"/>
    <w:rsid w:val="00126D26"/>
    <w:rsid w:val="0013016D"/>
    <w:rsid w:val="00130487"/>
    <w:rsid w:val="00130685"/>
    <w:rsid w:val="00130D3C"/>
    <w:rsid w:val="00130E33"/>
    <w:rsid w:val="00131615"/>
    <w:rsid w:val="00131BFD"/>
    <w:rsid w:val="00131F42"/>
    <w:rsid w:val="0013266D"/>
    <w:rsid w:val="00132C92"/>
    <w:rsid w:val="001332EF"/>
    <w:rsid w:val="00133552"/>
    <w:rsid w:val="0013360C"/>
    <w:rsid w:val="00133797"/>
    <w:rsid w:val="00133BB8"/>
    <w:rsid w:val="00133C8A"/>
    <w:rsid w:val="0013415B"/>
    <w:rsid w:val="001347B4"/>
    <w:rsid w:val="00134887"/>
    <w:rsid w:val="00134A80"/>
    <w:rsid w:val="00135369"/>
    <w:rsid w:val="0013571F"/>
    <w:rsid w:val="0013578D"/>
    <w:rsid w:val="001357F1"/>
    <w:rsid w:val="00135AC9"/>
    <w:rsid w:val="00136AA0"/>
    <w:rsid w:val="00136B01"/>
    <w:rsid w:val="00136FFD"/>
    <w:rsid w:val="0013795A"/>
    <w:rsid w:val="00137A6C"/>
    <w:rsid w:val="00137B2D"/>
    <w:rsid w:val="00137F0E"/>
    <w:rsid w:val="00140EE6"/>
    <w:rsid w:val="00140FA8"/>
    <w:rsid w:val="001415A7"/>
    <w:rsid w:val="00142021"/>
    <w:rsid w:val="00142081"/>
    <w:rsid w:val="00142363"/>
    <w:rsid w:val="001425E9"/>
    <w:rsid w:val="00142845"/>
    <w:rsid w:val="00142EFB"/>
    <w:rsid w:val="00142FEB"/>
    <w:rsid w:val="00143129"/>
    <w:rsid w:val="00143586"/>
    <w:rsid w:val="00143718"/>
    <w:rsid w:val="00143A2D"/>
    <w:rsid w:val="00143E15"/>
    <w:rsid w:val="001443AA"/>
    <w:rsid w:val="00145A06"/>
    <w:rsid w:val="00145A0D"/>
    <w:rsid w:val="00145A41"/>
    <w:rsid w:val="00145CD4"/>
    <w:rsid w:val="00146204"/>
    <w:rsid w:val="00146445"/>
    <w:rsid w:val="001466E2"/>
    <w:rsid w:val="00146936"/>
    <w:rsid w:val="00146EDF"/>
    <w:rsid w:val="00146F48"/>
    <w:rsid w:val="00147276"/>
    <w:rsid w:val="001474A8"/>
    <w:rsid w:val="00147779"/>
    <w:rsid w:val="00147B9B"/>
    <w:rsid w:val="00150502"/>
    <w:rsid w:val="00150DB9"/>
    <w:rsid w:val="00151325"/>
    <w:rsid w:val="00151675"/>
    <w:rsid w:val="001521A7"/>
    <w:rsid w:val="001523B5"/>
    <w:rsid w:val="0015268D"/>
    <w:rsid w:val="00152BE9"/>
    <w:rsid w:val="00152FEA"/>
    <w:rsid w:val="00152FFF"/>
    <w:rsid w:val="00154EFF"/>
    <w:rsid w:val="00155049"/>
    <w:rsid w:val="00155103"/>
    <w:rsid w:val="001552C2"/>
    <w:rsid w:val="00156504"/>
    <w:rsid w:val="00156A86"/>
    <w:rsid w:val="00157164"/>
    <w:rsid w:val="00157435"/>
    <w:rsid w:val="00157656"/>
    <w:rsid w:val="00157B0B"/>
    <w:rsid w:val="00160318"/>
    <w:rsid w:val="00160A7C"/>
    <w:rsid w:val="0016117F"/>
    <w:rsid w:val="001614CA"/>
    <w:rsid w:val="0016160C"/>
    <w:rsid w:val="00161EEE"/>
    <w:rsid w:val="0016229E"/>
    <w:rsid w:val="00162381"/>
    <w:rsid w:val="001624D3"/>
    <w:rsid w:val="001630D8"/>
    <w:rsid w:val="00163997"/>
    <w:rsid w:val="0016410E"/>
    <w:rsid w:val="0016416A"/>
    <w:rsid w:val="00164D1F"/>
    <w:rsid w:val="00164D67"/>
    <w:rsid w:val="0016617C"/>
    <w:rsid w:val="00167504"/>
    <w:rsid w:val="001678E4"/>
    <w:rsid w:val="00167DB6"/>
    <w:rsid w:val="00167F32"/>
    <w:rsid w:val="00170664"/>
    <w:rsid w:val="0017108E"/>
    <w:rsid w:val="0017166E"/>
    <w:rsid w:val="00171757"/>
    <w:rsid w:val="001728F9"/>
    <w:rsid w:val="00172FFD"/>
    <w:rsid w:val="00173195"/>
    <w:rsid w:val="00174638"/>
    <w:rsid w:val="001748B3"/>
    <w:rsid w:val="00174C62"/>
    <w:rsid w:val="00174FA6"/>
    <w:rsid w:val="0017504D"/>
    <w:rsid w:val="00175C37"/>
    <w:rsid w:val="0017671A"/>
    <w:rsid w:val="00176F36"/>
    <w:rsid w:val="00177033"/>
    <w:rsid w:val="00177422"/>
    <w:rsid w:val="00177D09"/>
    <w:rsid w:val="001804E1"/>
    <w:rsid w:val="00180736"/>
    <w:rsid w:val="00180F7A"/>
    <w:rsid w:val="001819DA"/>
    <w:rsid w:val="00181D85"/>
    <w:rsid w:val="001820DB"/>
    <w:rsid w:val="0018229F"/>
    <w:rsid w:val="00182D78"/>
    <w:rsid w:val="00183116"/>
    <w:rsid w:val="0018356B"/>
    <w:rsid w:val="001836A8"/>
    <w:rsid w:val="00183F5C"/>
    <w:rsid w:val="001843C2"/>
    <w:rsid w:val="0018455B"/>
    <w:rsid w:val="00184590"/>
    <w:rsid w:val="001847D5"/>
    <w:rsid w:val="00184C5B"/>
    <w:rsid w:val="00184E40"/>
    <w:rsid w:val="001852F2"/>
    <w:rsid w:val="001853E6"/>
    <w:rsid w:val="001859D0"/>
    <w:rsid w:val="00185A96"/>
    <w:rsid w:val="00185C33"/>
    <w:rsid w:val="00186957"/>
    <w:rsid w:val="001870D1"/>
    <w:rsid w:val="00187196"/>
    <w:rsid w:val="00187451"/>
    <w:rsid w:val="0018781E"/>
    <w:rsid w:val="00187C5D"/>
    <w:rsid w:val="00190016"/>
    <w:rsid w:val="001905A5"/>
    <w:rsid w:val="001905B4"/>
    <w:rsid w:val="0019069F"/>
    <w:rsid w:val="00190C31"/>
    <w:rsid w:val="00191099"/>
    <w:rsid w:val="00191496"/>
    <w:rsid w:val="001914A5"/>
    <w:rsid w:val="0019173E"/>
    <w:rsid w:val="0019262D"/>
    <w:rsid w:val="001927B8"/>
    <w:rsid w:val="001927C2"/>
    <w:rsid w:val="001933DD"/>
    <w:rsid w:val="0019355D"/>
    <w:rsid w:val="001936C9"/>
    <w:rsid w:val="001936F1"/>
    <w:rsid w:val="00194950"/>
    <w:rsid w:val="00194F76"/>
    <w:rsid w:val="00195354"/>
    <w:rsid w:val="00195366"/>
    <w:rsid w:val="00195BF1"/>
    <w:rsid w:val="00196180"/>
    <w:rsid w:val="00196196"/>
    <w:rsid w:val="0019648C"/>
    <w:rsid w:val="00196715"/>
    <w:rsid w:val="00197034"/>
    <w:rsid w:val="001972F1"/>
    <w:rsid w:val="00197A10"/>
    <w:rsid w:val="00197F23"/>
    <w:rsid w:val="001A0FE7"/>
    <w:rsid w:val="001A1498"/>
    <w:rsid w:val="001A1B35"/>
    <w:rsid w:val="001A1C39"/>
    <w:rsid w:val="001A2A48"/>
    <w:rsid w:val="001A2B13"/>
    <w:rsid w:val="001A2B2F"/>
    <w:rsid w:val="001A3453"/>
    <w:rsid w:val="001A40A4"/>
    <w:rsid w:val="001A48A2"/>
    <w:rsid w:val="001A4A46"/>
    <w:rsid w:val="001A5282"/>
    <w:rsid w:val="001A5CD6"/>
    <w:rsid w:val="001A5F3C"/>
    <w:rsid w:val="001A6256"/>
    <w:rsid w:val="001A6BEA"/>
    <w:rsid w:val="001A6F61"/>
    <w:rsid w:val="001A714E"/>
    <w:rsid w:val="001A7608"/>
    <w:rsid w:val="001A7836"/>
    <w:rsid w:val="001A7DC0"/>
    <w:rsid w:val="001B024E"/>
    <w:rsid w:val="001B03A1"/>
    <w:rsid w:val="001B060A"/>
    <w:rsid w:val="001B11CF"/>
    <w:rsid w:val="001B1249"/>
    <w:rsid w:val="001B1677"/>
    <w:rsid w:val="001B1ADA"/>
    <w:rsid w:val="001B1E60"/>
    <w:rsid w:val="001B20AD"/>
    <w:rsid w:val="001B2B75"/>
    <w:rsid w:val="001B2EB7"/>
    <w:rsid w:val="001B34A7"/>
    <w:rsid w:val="001B39C4"/>
    <w:rsid w:val="001B3B41"/>
    <w:rsid w:val="001B494A"/>
    <w:rsid w:val="001B4A06"/>
    <w:rsid w:val="001B5AFB"/>
    <w:rsid w:val="001B5F9C"/>
    <w:rsid w:val="001B638A"/>
    <w:rsid w:val="001B64C6"/>
    <w:rsid w:val="001B70C9"/>
    <w:rsid w:val="001B72B8"/>
    <w:rsid w:val="001B75C2"/>
    <w:rsid w:val="001B78B2"/>
    <w:rsid w:val="001C02D4"/>
    <w:rsid w:val="001C1005"/>
    <w:rsid w:val="001C135F"/>
    <w:rsid w:val="001C1496"/>
    <w:rsid w:val="001C1B5C"/>
    <w:rsid w:val="001C2392"/>
    <w:rsid w:val="001C2AA9"/>
    <w:rsid w:val="001C2BC9"/>
    <w:rsid w:val="001C3BD7"/>
    <w:rsid w:val="001C3E49"/>
    <w:rsid w:val="001C4E0D"/>
    <w:rsid w:val="001C514F"/>
    <w:rsid w:val="001C5BAA"/>
    <w:rsid w:val="001C65AE"/>
    <w:rsid w:val="001C69B3"/>
    <w:rsid w:val="001C6F8C"/>
    <w:rsid w:val="001D0342"/>
    <w:rsid w:val="001D03E4"/>
    <w:rsid w:val="001D0E46"/>
    <w:rsid w:val="001D0E95"/>
    <w:rsid w:val="001D14AF"/>
    <w:rsid w:val="001D1DE1"/>
    <w:rsid w:val="001D2392"/>
    <w:rsid w:val="001D27AC"/>
    <w:rsid w:val="001D2D50"/>
    <w:rsid w:val="001D3428"/>
    <w:rsid w:val="001D36FE"/>
    <w:rsid w:val="001D38D7"/>
    <w:rsid w:val="001D418D"/>
    <w:rsid w:val="001D46FC"/>
    <w:rsid w:val="001D475F"/>
    <w:rsid w:val="001D4D5B"/>
    <w:rsid w:val="001D5595"/>
    <w:rsid w:val="001D5E21"/>
    <w:rsid w:val="001D5F0A"/>
    <w:rsid w:val="001D63EE"/>
    <w:rsid w:val="001D747C"/>
    <w:rsid w:val="001D77E6"/>
    <w:rsid w:val="001D7866"/>
    <w:rsid w:val="001D7874"/>
    <w:rsid w:val="001D7891"/>
    <w:rsid w:val="001D7F22"/>
    <w:rsid w:val="001E069A"/>
    <w:rsid w:val="001E0B43"/>
    <w:rsid w:val="001E1060"/>
    <w:rsid w:val="001E14C3"/>
    <w:rsid w:val="001E171D"/>
    <w:rsid w:val="001E185A"/>
    <w:rsid w:val="001E1DFC"/>
    <w:rsid w:val="001E1EFA"/>
    <w:rsid w:val="001E28A7"/>
    <w:rsid w:val="001E28EE"/>
    <w:rsid w:val="001E2E63"/>
    <w:rsid w:val="001E44D7"/>
    <w:rsid w:val="001E46BA"/>
    <w:rsid w:val="001E488C"/>
    <w:rsid w:val="001E4C31"/>
    <w:rsid w:val="001E5034"/>
    <w:rsid w:val="001E511B"/>
    <w:rsid w:val="001E5349"/>
    <w:rsid w:val="001E5B00"/>
    <w:rsid w:val="001E5C1D"/>
    <w:rsid w:val="001E66A1"/>
    <w:rsid w:val="001E680F"/>
    <w:rsid w:val="001E6A70"/>
    <w:rsid w:val="001E6B80"/>
    <w:rsid w:val="001E7A16"/>
    <w:rsid w:val="001F0D0E"/>
    <w:rsid w:val="001F0F17"/>
    <w:rsid w:val="001F103A"/>
    <w:rsid w:val="001F12FE"/>
    <w:rsid w:val="001F1A40"/>
    <w:rsid w:val="001F2F5A"/>
    <w:rsid w:val="001F3347"/>
    <w:rsid w:val="001F3C48"/>
    <w:rsid w:val="001F3F84"/>
    <w:rsid w:val="001F4378"/>
    <w:rsid w:val="001F45E1"/>
    <w:rsid w:val="001F47E6"/>
    <w:rsid w:val="001F4D08"/>
    <w:rsid w:val="001F4D4B"/>
    <w:rsid w:val="001F51DF"/>
    <w:rsid w:val="001F54DD"/>
    <w:rsid w:val="001F5550"/>
    <w:rsid w:val="001F55B3"/>
    <w:rsid w:val="001F563D"/>
    <w:rsid w:val="001F56EA"/>
    <w:rsid w:val="001F59CB"/>
    <w:rsid w:val="001F5A12"/>
    <w:rsid w:val="001F5C19"/>
    <w:rsid w:val="001F62F9"/>
    <w:rsid w:val="001F6577"/>
    <w:rsid w:val="001F69E4"/>
    <w:rsid w:val="001F6EB8"/>
    <w:rsid w:val="001F747A"/>
    <w:rsid w:val="001F7C76"/>
    <w:rsid w:val="001F7DE2"/>
    <w:rsid w:val="001F7E2C"/>
    <w:rsid w:val="00201884"/>
    <w:rsid w:val="00201F8C"/>
    <w:rsid w:val="002020E1"/>
    <w:rsid w:val="002022E9"/>
    <w:rsid w:val="00202DC5"/>
    <w:rsid w:val="00202FE9"/>
    <w:rsid w:val="00203353"/>
    <w:rsid w:val="002044FC"/>
    <w:rsid w:val="002048CA"/>
    <w:rsid w:val="00204B21"/>
    <w:rsid w:val="00205225"/>
    <w:rsid w:val="00205D6F"/>
    <w:rsid w:val="00206610"/>
    <w:rsid w:val="00206B0A"/>
    <w:rsid w:val="00206CB8"/>
    <w:rsid w:val="00206EE1"/>
    <w:rsid w:val="0020776D"/>
    <w:rsid w:val="0020781F"/>
    <w:rsid w:val="00207CD7"/>
    <w:rsid w:val="002104EC"/>
    <w:rsid w:val="00210678"/>
    <w:rsid w:val="0021096C"/>
    <w:rsid w:val="0021123E"/>
    <w:rsid w:val="00211F68"/>
    <w:rsid w:val="002125B4"/>
    <w:rsid w:val="00212E60"/>
    <w:rsid w:val="00212E9E"/>
    <w:rsid w:val="00213409"/>
    <w:rsid w:val="002137CC"/>
    <w:rsid w:val="00213B82"/>
    <w:rsid w:val="002155B8"/>
    <w:rsid w:val="002156CE"/>
    <w:rsid w:val="00215940"/>
    <w:rsid w:val="0021609B"/>
    <w:rsid w:val="00216827"/>
    <w:rsid w:val="00216911"/>
    <w:rsid w:val="002169B5"/>
    <w:rsid w:val="00216DFE"/>
    <w:rsid w:val="00217349"/>
    <w:rsid w:val="00217A13"/>
    <w:rsid w:val="00220D0D"/>
    <w:rsid w:val="00220EB4"/>
    <w:rsid w:val="00221B82"/>
    <w:rsid w:val="00221E78"/>
    <w:rsid w:val="002227DD"/>
    <w:rsid w:val="002228DB"/>
    <w:rsid w:val="002232F2"/>
    <w:rsid w:val="002237AC"/>
    <w:rsid w:val="00223DD8"/>
    <w:rsid w:val="00223DF8"/>
    <w:rsid w:val="00223F7C"/>
    <w:rsid w:val="00224386"/>
    <w:rsid w:val="00224839"/>
    <w:rsid w:val="002249B2"/>
    <w:rsid w:val="00224C92"/>
    <w:rsid w:val="00225070"/>
    <w:rsid w:val="002253E0"/>
    <w:rsid w:val="0022628F"/>
    <w:rsid w:val="00226574"/>
    <w:rsid w:val="002265D4"/>
    <w:rsid w:val="002268EF"/>
    <w:rsid w:val="00226951"/>
    <w:rsid w:val="0022719E"/>
    <w:rsid w:val="0022758F"/>
    <w:rsid w:val="002278EC"/>
    <w:rsid w:val="002307EA"/>
    <w:rsid w:val="00230A5B"/>
    <w:rsid w:val="00231F7C"/>
    <w:rsid w:val="00232063"/>
    <w:rsid w:val="002320D8"/>
    <w:rsid w:val="002327EF"/>
    <w:rsid w:val="0023280E"/>
    <w:rsid w:val="002330B3"/>
    <w:rsid w:val="00233648"/>
    <w:rsid w:val="00233712"/>
    <w:rsid w:val="00233972"/>
    <w:rsid w:val="00235BC0"/>
    <w:rsid w:val="00235DB9"/>
    <w:rsid w:val="0023633D"/>
    <w:rsid w:val="0023750D"/>
    <w:rsid w:val="0023754D"/>
    <w:rsid w:val="00237574"/>
    <w:rsid w:val="002377D1"/>
    <w:rsid w:val="00241519"/>
    <w:rsid w:val="00241A7D"/>
    <w:rsid w:val="002421AF"/>
    <w:rsid w:val="002422B7"/>
    <w:rsid w:val="0024290E"/>
    <w:rsid w:val="002440A3"/>
    <w:rsid w:val="002444A3"/>
    <w:rsid w:val="00244CB6"/>
    <w:rsid w:val="00244D42"/>
    <w:rsid w:val="002453BA"/>
    <w:rsid w:val="00245474"/>
    <w:rsid w:val="00245AA6"/>
    <w:rsid w:val="00245B99"/>
    <w:rsid w:val="00246B6A"/>
    <w:rsid w:val="0024723D"/>
    <w:rsid w:val="002476F2"/>
    <w:rsid w:val="00247AC8"/>
    <w:rsid w:val="002506BC"/>
    <w:rsid w:val="00251266"/>
    <w:rsid w:val="00251A15"/>
    <w:rsid w:val="00251F8D"/>
    <w:rsid w:val="0025244D"/>
    <w:rsid w:val="002528C7"/>
    <w:rsid w:val="00252DF4"/>
    <w:rsid w:val="00254345"/>
    <w:rsid w:val="00254768"/>
    <w:rsid w:val="00254FA5"/>
    <w:rsid w:val="00255001"/>
    <w:rsid w:val="002554B1"/>
    <w:rsid w:val="0025553D"/>
    <w:rsid w:val="00255629"/>
    <w:rsid w:val="00255ADF"/>
    <w:rsid w:val="00255AF5"/>
    <w:rsid w:val="00256306"/>
    <w:rsid w:val="002565DC"/>
    <w:rsid w:val="00257105"/>
    <w:rsid w:val="002577E8"/>
    <w:rsid w:val="002600F8"/>
    <w:rsid w:val="0026012A"/>
    <w:rsid w:val="002602E0"/>
    <w:rsid w:val="002602F0"/>
    <w:rsid w:val="00260432"/>
    <w:rsid w:val="00260447"/>
    <w:rsid w:val="002611D4"/>
    <w:rsid w:val="00261367"/>
    <w:rsid w:val="002615EE"/>
    <w:rsid w:val="00261AF4"/>
    <w:rsid w:val="00261D24"/>
    <w:rsid w:val="00261E5C"/>
    <w:rsid w:val="00261F6D"/>
    <w:rsid w:val="0026256E"/>
    <w:rsid w:val="00262A08"/>
    <w:rsid w:val="00262C58"/>
    <w:rsid w:val="002637EB"/>
    <w:rsid w:val="0026401A"/>
    <w:rsid w:val="00264557"/>
    <w:rsid w:val="002649EC"/>
    <w:rsid w:val="00265245"/>
    <w:rsid w:val="0026565F"/>
    <w:rsid w:val="00266142"/>
    <w:rsid w:val="0026615D"/>
    <w:rsid w:val="0026623A"/>
    <w:rsid w:val="00266B0F"/>
    <w:rsid w:val="00267835"/>
    <w:rsid w:val="002702D7"/>
    <w:rsid w:val="00270525"/>
    <w:rsid w:val="002705E2"/>
    <w:rsid w:val="002707C1"/>
    <w:rsid w:val="00270F88"/>
    <w:rsid w:val="00271810"/>
    <w:rsid w:val="00271A21"/>
    <w:rsid w:val="002721F1"/>
    <w:rsid w:val="002722BF"/>
    <w:rsid w:val="002724D1"/>
    <w:rsid w:val="0027252D"/>
    <w:rsid w:val="00274B00"/>
    <w:rsid w:val="002750C3"/>
    <w:rsid w:val="0027587D"/>
    <w:rsid w:val="00275B66"/>
    <w:rsid w:val="00275C12"/>
    <w:rsid w:val="00276092"/>
    <w:rsid w:val="00276954"/>
    <w:rsid w:val="00276C61"/>
    <w:rsid w:val="00276CF1"/>
    <w:rsid w:val="0027707B"/>
    <w:rsid w:val="00277451"/>
    <w:rsid w:val="00277E94"/>
    <w:rsid w:val="00280336"/>
    <w:rsid w:val="002805AB"/>
    <w:rsid w:val="00280E8F"/>
    <w:rsid w:val="00281157"/>
    <w:rsid w:val="002811CA"/>
    <w:rsid w:val="0028137F"/>
    <w:rsid w:val="00281856"/>
    <w:rsid w:val="00281A34"/>
    <w:rsid w:val="0028260B"/>
    <w:rsid w:val="00284204"/>
    <w:rsid w:val="00284E35"/>
    <w:rsid w:val="00284F23"/>
    <w:rsid w:val="002855F2"/>
    <w:rsid w:val="002860C6"/>
    <w:rsid w:val="002869DE"/>
    <w:rsid w:val="00286C91"/>
    <w:rsid w:val="00286FDE"/>
    <w:rsid w:val="00287327"/>
    <w:rsid w:val="00287768"/>
    <w:rsid w:val="00287A66"/>
    <w:rsid w:val="002902EC"/>
    <w:rsid w:val="0029054D"/>
    <w:rsid w:val="00290A88"/>
    <w:rsid w:val="00291773"/>
    <w:rsid w:val="00291AB2"/>
    <w:rsid w:val="0029320F"/>
    <w:rsid w:val="00293421"/>
    <w:rsid w:val="00294AB4"/>
    <w:rsid w:val="00294CF5"/>
    <w:rsid w:val="0029503C"/>
    <w:rsid w:val="00295C99"/>
    <w:rsid w:val="00295CA3"/>
    <w:rsid w:val="00295CB7"/>
    <w:rsid w:val="002960BB"/>
    <w:rsid w:val="00296D74"/>
    <w:rsid w:val="0029720F"/>
    <w:rsid w:val="00297D33"/>
    <w:rsid w:val="00297F08"/>
    <w:rsid w:val="002A03C5"/>
    <w:rsid w:val="002A05AA"/>
    <w:rsid w:val="002A168C"/>
    <w:rsid w:val="002A17A8"/>
    <w:rsid w:val="002A1CC7"/>
    <w:rsid w:val="002A26F4"/>
    <w:rsid w:val="002A2982"/>
    <w:rsid w:val="002A2FB2"/>
    <w:rsid w:val="002A3232"/>
    <w:rsid w:val="002A3275"/>
    <w:rsid w:val="002A34C0"/>
    <w:rsid w:val="002A355D"/>
    <w:rsid w:val="002A3AC6"/>
    <w:rsid w:val="002A3DC7"/>
    <w:rsid w:val="002A3F42"/>
    <w:rsid w:val="002A4171"/>
    <w:rsid w:val="002A452D"/>
    <w:rsid w:val="002A5E14"/>
    <w:rsid w:val="002A66E1"/>
    <w:rsid w:val="002A733B"/>
    <w:rsid w:val="002A7547"/>
    <w:rsid w:val="002A7B2E"/>
    <w:rsid w:val="002A7C26"/>
    <w:rsid w:val="002A7CEC"/>
    <w:rsid w:val="002A7FA5"/>
    <w:rsid w:val="002B0570"/>
    <w:rsid w:val="002B080D"/>
    <w:rsid w:val="002B0B92"/>
    <w:rsid w:val="002B0C2E"/>
    <w:rsid w:val="002B10CF"/>
    <w:rsid w:val="002B1E2B"/>
    <w:rsid w:val="002B1F44"/>
    <w:rsid w:val="002B2221"/>
    <w:rsid w:val="002B266C"/>
    <w:rsid w:val="002B2F7F"/>
    <w:rsid w:val="002B355A"/>
    <w:rsid w:val="002B391E"/>
    <w:rsid w:val="002B4300"/>
    <w:rsid w:val="002B4482"/>
    <w:rsid w:val="002B45C6"/>
    <w:rsid w:val="002B4780"/>
    <w:rsid w:val="002B4806"/>
    <w:rsid w:val="002B48FB"/>
    <w:rsid w:val="002B49E2"/>
    <w:rsid w:val="002B517F"/>
    <w:rsid w:val="002B52E2"/>
    <w:rsid w:val="002B5442"/>
    <w:rsid w:val="002B570C"/>
    <w:rsid w:val="002B582E"/>
    <w:rsid w:val="002B5BBB"/>
    <w:rsid w:val="002B60EE"/>
    <w:rsid w:val="002B7059"/>
    <w:rsid w:val="002B7121"/>
    <w:rsid w:val="002B7B00"/>
    <w:rsid w:val="002B7C44"/>
    <w:rsid w:val="002C057A"/>
    <w:rsid w:val="002C07F9"/>
    <w:rsid w:val="002C0847"/>
    <w:rsid w:val="002C0E86"/>
    <w:rsid w:val="002C1236"/>
    <w:rsid w:val="002C1622"/>
    <w:rsid w:val="002C2988"/>
    <w:rsid w:val="002C2B17"/>
    <w:rsid w:val="002C3918"/>
    <w:rsid w:val="002C438C"/>
    <w:rsid w:val="002C4571"/>
    <w:rsid w:val="002C4C00"/>
    <w:rsid w:val="002C5AA1"/>
    <w:rsid w:val="002C5B07"/>
    <w:rsid w:val="002C6189"/>
    <w:rsid w:val="002C62BD"/>
    <w:rsid w:val="002C6A3B"/>
    <w:rsid w:val="002C6D8E"/>
    <w:rsid w:val="002C7D4E"/>
    <w:rsid w:val="002D011F"/>
    <w:rsid w:val="002D05E6"/>
    <w:rsid w:val="002D07A1"/>
    <w:rsid w:val="002D07CF"/>
    <w:rsid w:val="002D13AE"/>
    <w:rsid w:val="002D1F86"/>
    <w:rsid w:val="002D2A6A"/>
    <w:rsid w:val="002D2CF6"/>
    <w:rsid w:val="002D3659"/>
    <w:rsid w:val="002D3DD0"/>
    <w:rsid w:val="002D3FFD"/>
    <w:rsid w:val="002D40C1"/>
    <w:rsid w:val="002D41AB"/>
    <w:rsid w:val="002D423E"/>
    <w:rsid w:val="002D4961"/>
    <w:rsid w:val="002D4CD9"/>
    <w:rsid w:val="002D577D"/>
    <w:rsid w:val="002D5AE8"/>
    <w:rsid w:val="002D5F0C"/>
    <w:rsid w:val="002D648B"/>
    <w:rsid w:val="002D6689"/>
    <w:rsid w:val="002D696D"/>
    <w:rsid w:val="002D70C9"/>
    <w:rsid w:val="002D71A1"/>
    <w:rsid w:val="002D78AE"/>
    <w:rsid w:val="002D7B2F"/>
    <w:rsid w:val="002D7F29"/>
    <w:rsid w:val="002D7FFC"/>
    <w:rsid w:val="002E01C3"/>
    <w:rsid w:val="002E05E2"/>
    <w:rsid w:val="002E0C47"/>
    <w:rsid w:val="002E0CDF"/>
    <w:rsid w:val="002E0D89"/>
    <w:rsid w:val="002E1F3A"/>
    <w:rsid w:val="002E298A"/>
    <w:rsid w:val="002E2B3F"/>
    <w:rsid w:val="002E3080"/>
    <w:rsid w:val="002E3211"/>
    <w:rsid w:val="002E33CC"/>
    <w:rsid w:val="002E3989"/>
    <w:rsid w:val="002E42E5"/>
    <w:rsid w:val="002E43F5"/>
    <w:rsid w:val="002E4D53"/>
    <w:rsid w:val="002E52F9"/>
    <w:rsid w:val="002E537F"/>
    <w:rsid w:val="002E57C3"/>
    <w:rsid w:val="002E5971"/>
    <w:rsid w:val="002E5B74"/>
    <w:rsid w:val="002E647A"/>
    <w:rsid w:val="002E73D5"/>
    <w:rsid w:val="002E769C"/>
    <w:rsid w:val="002E7FFA"/>
    <w:rsid w:val="002F0378"/>
    <w:rsid w:val="002F06F9"/>
    <w:rsid w:val="002F0A1A"/>
    <w:rsid w:val="002F0CAC"/>
    <w:rsid w:val="002F0DAD"/>
    <w:rsid w:val="002F1748"/>
    <w:rsid w:val="002F1A5D"/>
    <w:rsid w:val="002F21A6"/>
    <w:rsid w:val="002F2A81"/>
    <w:rsid w:val="002F314A"/>
    <w:rsid w:val="002F3389"/>
    <w:rsid w:val="002F3D2F"/>
    <w:rsid w:val="002F3E21"/>
    <w:rsid w:val="002F3F9F"/>
    <w:rsid w:val="002F4102"/>
    <w:rsid w:val="002F45E5"/>
    <w:rsid w:val="002F4832"/>
    <w:rsid w:val="002F48E2"/>
    <w:rsid w:val="002F4DF7"/>
    <w:rsid w:val="002F4E3E"/>
    <w:rsid w:val="002F5129"/>
    <w:rsid w:val="002F52AC"/>
    <w:rsid w:val="002F575C"/>
    <w:rsid w:val="002F583C"/>
    <w:rsid w:val="002F5AD3"/>
    <w:rsid w:val="002F5D5E"/>
    <w:rsid w:val="002F6C4C"/>
    <w:rsid w:val="002F6E12"/>
    <w:rsid w:val="002F7258"/>
    <w:rsid w:val="002F72E6"/>
    <w:rsid w:val="003000BF"/>
    <w:rsid w:val="00300725"/>
    <w:rsid w:val="003012D3"/>
    <w:rsid w:val="00301978"/>
    <w:rsid w:val="003019B9"/>
    <w:rsid w:val="003027D0"/>
    <w:rsid w:val="00302CD3"/>
    <w:rsid w:val="0030332C"/>
    <w:rsid w:val="003036FA"/>
    <w:rsid w:val="00303754"/>
    <w:rsid w:val="003037C8"/>
    <w:rsid w:val="003039A6"/>
    <w:rsid w:val="00303A9A"/>
    <w:rsid w:val="00303F73"/>
    <w:rsid w:val="0030415C"/>
    <w:rsid w:val="00304E70"/>
    <w:rsid w:val="00304FED"/>
    <w:rsid w:val="0030517C"/>
    <w:rsid w:val="003051C2"/>
    <w:rsid w:val="00305410"/>
    <w:rsid w:val="00306298"/>
    <w:rsid w:val="00307BC0"/>
    <w:rsid w:val="00310325"/>
    <w:rsid w:val="00311F7C"/>
    <w:rsid w:val="00312296"/>
    <w:rsid w:val="00312BF3"/>
    <w:rsid w:val="003137BA"/>
    <w:rsid w:val="0031438D"/>
    <w:rsid w:val="00314B46"/>
    <w:rsid w:val="00314F0E"/>
    <w:rsid w:val="003157C9"/>
    <w:rsid w:val="00315B82"/>
    <w:rsid w:val="0031600F"/>
    <w:rsid w:val="003165F6"/>
    <w:rsid w:val="00316A5C"/>
    <w:rsid w:val="00316B45"/>
    <w:rsid w:val="00317DC7"/>
    <w:rsid w:val="00317E00"/>
    <w:rsid w:val="00317EA6"/>
    <w:rsid w:val="003200D3"/>
    <w:rsid w:val="0032067F"/>
    <w:rsid w:val="00321798"/>
    <w:rsid w:val="003219B8"/>
    <w:rsid w:val="00321D8E"/>
    <w:rsid w:val="00322382"/>
    <w:rsid w:val="00322977"/>
    <w:rsid w:val="00322B8F"/>
    <w:rsid w:val="00323140"/>
    <w:rsid w:val="0032357E"/>
    <w:rsid w:val="00323631"/>
    <w:rsid w:val="00323B43"/>
    <w:rsid w:val="00323B4D"/>
    <w:rsid w:val="0032440D"/>
    <w:rsid w:val="00324537"/>
    <w:rsid w:val="00324DB1"/>
    <w:rsid w:val="00325349"/>
    <w:rsid w:val="00325928"/>
    <w:rsid w:val="00327405"/>
    <w:rsid w:val="00327530"/>
    <w:rsid w:val="00327C99"/>
    <w:rsid w:val="003302A6"/>
    <w:rsid w:val="003304E1"/>
    <w:rsid w:val="0033070D"/>
    <w:rsid w:val="003309C6"/>
    <w:rsid w:val="00330B71"/>
    <w:rsid w:val="00330E67"/>
    <w:rsid w:val="00332183"/>
    <w:rsid w:val="00332863"/>
    <w:rsid w:val="003328D9"/>
    <w:rsid w:val="003328E8"/>
    <w:rsid w:val="0033291F"/>
    <w:rsid w:val="00333860"/>
    <w:rsid w:val="00333B33"/>
    <w:rsid w:val="00333D84"/>
    <w:rsid w:val="00334677"/>
    <w:rsid w:val="00335988"/>
    <w:rsid w:val="00335C71"/>
    <w:rsid w:val="0033667C"/>
    <w:rsid w:val="0033684D"/>
    <w:rsid w:val="003368DA"/>
    <w:rsid w:val="0033709A"/>
    <w:rsid w:val="00337203"/>
    <w:rsid w:val="003376A6"/>
    <w:rsid w:val="00337898"/>
    <w:rsid w:val="00337B42"/>
    <w:rsid w:val="00337BF6"/>
    <w:rsid w:val="00337EED"/>
    <w:rsid w:val="00340179"/>
    <w:rsid w:val="0034025C"/>
    <w:rsid w:val="0034044F"/>
    <w:rsid w:val="003404E7"/>
    <w:rsid w:val="0034087F"/>
    <w:rsid w:val="00340D6D"/>
    <w:rsid w:val="00340ECF"/>
    <w:rsid w:val="00341B42"/>
    <w:rsid w:val="003420C8"/>
    <w:rsid w:val="003427EF"/>
    <w:rsid w:val="00342C12"/>
    <w:rsid w:val="00342CF1"/>
    <w:rsid w:val="00342D1F"/>
    <w:rsid w:val="003430C3"/>
    <w:rsid w:val="00343204"/>
    <w:rsid w:val="003433FE"/>
    <w:rsid w:val="0034345A"/>
    <w:rsid w:val="0034348F"/>
    <w:rsid w:val="003439AE"/>
    <w:rsid w:val="003439B8"/>
    <w:rsid w:val="003439E5"/>
    <w:rsid w:val="003449C3"/>
    <w:rsid w:val="00344D8B"/>
    <w:rsid w:val="00344DDF"/>
    <w:rsid w:val="003452C9"/>
    <w:rsid w:val="00345357"/>
    <w:rsid w:val="0034558D"/>
    <w:rsid w:val="00345730"/>
    <w:rsid w:val="0034584C"/>
    <w:rsid w:val="00345B40"/>
    <w:rsid w:val="00345E0F"/>
    <w:rsid w:val="00345F8F"/>
    <w:rsid w:val="003462F3"/>
    <w:rsid w:val="00346BFD"/>
    <w:rsid w:val="0034705B"/>
    <w:rsid w:val="003477A0"/>
    <w:rsid w:val="00347DD8"/>
    <w:rsid w:val="00347E4F"/>
    <w:rsid w:val="003502E4"/>
    <w:rsid w:val="003504C3"/>
    <w:rsid w:val="00350640"/>
    <w:rsid w:val="00350929"/>
    <w:rsid w:val="00350C3A"/>
    <w:rsid w:val="00351A5E"/>
    <w:rsid w:val="00351FF0"/>
    <w:rsid w:val="00352BB0"/>
    <w:rsid w:val="00353060"/>
    <w:rsid w:val="0035309E"/>
    <w:rsid w:val="0035365E"/>
    <w:rsid w:val="00353E38"/>
    <w:rsid w:val="003544F7"/>
    <w:rsid w:val="00354681"/>
    <w:rsid w:val="00354B95"/>
    <w:rsid w:val="003556B5"/>
    <w:rsid w:val="003558F8"/>
    <w:rsid w:val="00355D7A"/>
    <w:rsid w:val="00356653"/>
    <w:rsid w:val="0035691B"/>
    <w:rsid w:val="00356A4A"/>
    <w:rsid w:val="0035743F"/>
    <w:rsid w:val="00357BE2"/>
    <w:rsid w:val="0036005F"/>
    <w:rsid w:val="00360EE4"/>
    <w:rsid w:val="0036109B"/>
    <w:rsid w:val="0036141A"/>
    <w:rsid w:val="003614CA"/>
    <w:rsid w:val="0036170C"/>
    <w:rsid w:val="00361D8A"/>
    <w:rsid w:val="00361DCF"/>
    <w:rsid w:val="00361F50"/>
    <w:rsid w:val="0036210C"/>
    <w:rsid w:val="003622C4"/>
    <w:rsid w:val="00364F73"/>
    <w:rsid w:val="00365C06"/>
    <w:rsid w:val="003667A5"/>
    <w:rsid w:val="003667DC"/>
    <w:rsid w:val="00366884"/>
    <w:rsid w:val="00366E0F"/>
    <w:rsid w:val="00367839"/>
    <w:rsid w:val="00367B10"/>
    <w:rsid w:val="00367BDC"/>
    <w:rsid w:val="00370697"/>
    <w:rsid w:val="00370A26"/>
    <w:rsid w:val="00371329"/>
    <w:rsid w:val="00371947"/>
    <w:rsid w:val="00371E25"/>
    <w:rsid w:val="00371ED4"/>
    <w:rsid w:val="0037221C"/>
    <w:rsid w:val="003722C6"/>
    <w:rsid w:val="00372CA5"/>
    <w:rsid w:val="0037300B"/>
    <w:rsid w:val="0037322D"/>
    <w:rsid w:val="0037357E"/>
    <w:rsid w:val="0037419C"/>
    <w:rsid w:val="003747C2"/>
    <w:rsid w:val="00374CFA"/>
    <w:rsid w:val="00375142"/>
    <w:rsid w:val="00375D90"/>
    <w:rsid w:val="00376417"/>
    <w:rsid w:val="0037729C"/>
    <w:rsid w:val="00377526"/>
    <w:rsid w:val="003807B5"/>
    <w:rsid w:val="00380EED"/>
    <w:rsid w:val="0038114C"/>
    <w:rsid w:val="00381639"/>
    <w:rsid w:val="00381A72"/>
    <w:rsid w:val="00381F67"/>
    <w:rsid w:val="00382000"/>
    <w:rsid w:val="00382301"/>
    <w:rsid w:val="003828AE"/>
    <w:rsid w:val="00382939"/>
    <w:rsid w:val="0038397C"/>
    <w:rsid w:val="00383F4E"/>
    <w:rsid w:val="003842C4"/>
    <w:rsid w:val="003843A1"/>
    <w:rsid w:val="00384676"/>
    <w:rsid w:val="00385D00"/>
    <w:rsid w:val="00386684"/>
    <w:rsid w:val="00387EFB"/>
    <w:rsid w:val="003900ED"/>
    <w:rsid w:val="00390857"/>
    <w:rsid w:val="00391715"/>
    <w:rsid w:val="00391E90"/>
    <w:rsid w:val="0039290D"/>
    <w:rsid w:val="00392973"/>
    <w:rsid w:val="00393256"/>
    <w:rsid w:val="00393640"/>
    <w:rsid w:val="003946FA"/>
    <w:rsid w:val="00394EF6"/>
    <w:rsid w:val="003954FA"/>
    <w:rsid w:val="00395C39"/>
    <w:rsid w:val="00397726"/>
    <w:rsid w:val="003977D6"/>
    <w:rsid w:val="00397A05"/>
    <w:rsid w:val="003A0243"/>
    <w:rsid w:val="003A0CEB"/>
    <w:rsid w:val="003A0DCC"/>
    <w:rsid w:val="003A101F"/>
    <w:rsid w:val="003A16C1"/>
    <w:rsid w:val="003A17C2"/>
    <w:rsid w:val="003A1B58"/>
    <w:rsid w:val="003A2B2A"/>
    <w:rsid w:val="003A2E30"/>
    <w:rsid w:val="003A2F49"/>
    <w:rsid w:val="003A3227"/>
    <w:rsid w:val="003A34FA"/>
    <w:rsid w:val="003A38A7"/>
    <w:rsid w:val="003A38DE"/>
    <w:rsid w:val="003A419D"/>
    <w:rsid w:val="003A4BF3"/>
    <w:rsid w:val="003A4C8E"/>
    <w:rsid w:val="003A50B4"/>
    <w:rsid w:val="003A544C"/>
    <w:rsid w:val="003A54F6"/>
    <w:rsid w:val="003A7403"/>
    <w:rsid w:val="003A7419"/>
    <w:rsid w:val="003A74D2"/>
    <w:rsid w:val="003A7C19"/>
    <w:rsid w:val="003B01DC"/>
    <w:rsid w:val="003B0865"/>
    <w:rsid w:val="003B0BB5"/>
    <w:rsid w:val="003B0C6C"/>
    <w:rsid w:val="003B16D2"/>
    <w:rsid w:val="003B1712"/>
    <w:rsid w:val="003B1756"/>
    <w:rsid w:val="003B205B"/>
    <w:rsid w:val="003B214A"/>
    <w:rsid w:val="003B277D"/>
    <w:rsid w:val="003B2E47"/>
    <w:rsid w:val="003B3401"/>
    <w:rsid w:val="003B38DE"/>
    <w:rsid w:val="003B3E54"/>
    <w:rsid w:val="003B420D"/>
    <w:rsid w:val="003B430B"/>
    <w:rsid w:val="003B48DA"/>
    <w:rsid w:val="003B5869"/>
    <w:rsid w:val="003B5C3E"/>
    <w:rsid w:val="003B64A6"/>
    <w:rsid w:val="003B659D"/>
    <w:rsid w:val="003B664F"/>
    <w:rsid w:val="003B76BA"/>
    <w:rsid w:val="003B7CF9"/>
    <w:rsid w:val="003C0AC8"/>
    <w:rsid w:val="003C0C09"/>
    <w:rsid w:val="003C0CF7"/>
    <w:rsid w:val="003C1662"/>
    <w:rsid w:val="003C1C2A"/>
    <w:rsid w:val="003C1CDC"/>
    <w:rsid w:val="003C1DD5"/>
    <w:rsid w:val="003C21BE"/>
    <w:rsid w:val="003C22B4"/>
    <w:rsid w:val="003C28BC"/>
    <w:rsid w:val="003C375C"/>
    <w:rsid w:val="003C44FE"/>
    <w:rsid w:val="003C4702"/>
    <w:rsid w:val="003C53A5"/>
    <w:rsid w:val="003C568B"/>
    <w:rsid w:val="003C580A"/>
    <w:rsid w:val="003C5955"/>
    <w:rsid w:val="003C5CF9"/>
    <w:rsid w:val="003C5D42"/>
    <w:rsid w:val="003C68C1"/>
    <w:rsid w:val="003C6C16"/>
    <w:rsid w:val="003C71A9"/>
    <w:rsid w:val="003C746B"/>
    <w:rsid w:val="003C794D"/>
    <w:rsid w:val="003C7D56"/>
    <w:rsid w:val="003D0259"/>
    <w:rsid w:val="003D0DA0"/>
    <w:rsid w:val="003D0F5A"/>
    <w:rsid w:val="003D11E6"/>
    <w:rsid w:val="003D12E8"/>
    <w:rsid w:val="003D1914"/>
    <w:rsid w:val="003D2C34"/>
    <w:rsid w:val="003D3380"/>
    <w:rsid w:val="003D33BB"/>
    <w:rsid w:val="003D38A4"/>
    <w:rsid w:val="003D38F3"/>
    <w:rsid w:val="003D3EF6"/>
    <w:rsid w:val="003D4086"/>
    <w:rsid w:val="003D4234"/>
    <w:rsid w:val="003D464E"/>
    <w:rsid w:val="003D4B75"/>
    <w:rsid w:val="003D52FA"/>
    <w:rsid w:val="003D638C"/>
    <w:rsid w:val="003D6481"/>
    <w:rsid w:val="003D65C4"/>
    <w:rsid w:val="003D68D2"/>
    <w:rsid w:val="003D6AE8"/>
    <w:rsid w:val="003D6C8E"/>
    <w:rsid w:val="003D6DED"/>
    <w:rsid w:val="003D717D"/>
    <w:rsid w:val="003D794D"/>
    <w:rsid w:val="003E054E"/>
    <w:rsid w:val="003E05F7"/>
    <w:rsid w:val="003E064A"/>
    <w:rsid w:val="003E11B1"/>
    <w:rsid w:val="003E1EC1"/>
    <w:rsid w:val="003E3058"/>
    <w:rsid w:val="003E3505"/>
    <w:rsid w:val="003E38D5"/>
    <w:rsid w:val="003E42D2"/>
    <w:rsid w:val="003E4C75"/>
    <w:rsid w:val="003E5004"/>
    <w:rsid w:val="003E50B9"/>
    <w:rsid w:val="003E563D"/>
    <w:rsid w:val="003E60FA"/>
    <w:rsid w:val="003E6669"/>
    <w:rsid w:val="003E69B3"/>
    <w:rsid w:val="003E6ACC"/>
    <w:rsid w:val="003E76A9"/>
    <w:rsid w:val="003E7757"/>
    <w:rsid w:val="003F0809"/>
    <w:rsid w:val="003F0A81"/>
    <w:rsid w:val="003F141D"/>
    <w:rsid w:val="003F26C0"/>
    <w:rsid w:val="003F28DD"/>
    <w:rsid w:val="003F3354"/>
    <w:rsid w:val="003F4301"/>
    <w:rsid w:val="003F47DA"/>
    <w:rsid w:val="003F496D"/>
    <w:rsid w:val="003F4BDF"/>
    <w:rsid w:val="003F509E"/>
    <w:rsid w:val="003F5CDB"/>
    <w:rsid w:val="003F6006"/>
    <w:rsid w:val="003F628B"/>
    <w:rsid w:val="003F6857"/>
    <w:rsid w:val="003F6A8C"/>
    <w:rsid w:val="003F6E43"/>
    <w:rsid w:val="003F755C"/>
    <w:rsid w:val="0040051E"/>
    <w:rsid w:val="00400955"/>
    <w:rsid w:val="00400ED3"/>
    <w:rsid w:val="00400F50"/>
    <w:rsid w:val="00401077"/>
    <w:rsid w:val="004015A3"/>
    <w:rsid w:val="004017B8"/>
    <w:rsid w:val="0040197E"/>
    <w:rsid w:val="004019AC"/>
    <w:rsid w:val="00402164"/>
    <w:rsid w:val="00402327"/>
    <w:rsid w:val="004025DD"/>
    <w:rsid w:val="0040334D"/>
    <w:rsid w:val="004034C2"/>
    <w:rsid w:val="0040379D"/>
    <w:rsid w:val="00404154"/>
    <w:rsid w:val="004046DE"/>
    <w:rsid w:val="00404D4C"/>
    <w:rsid w:val="0040540B"/>
    <w:rsid w:val="004055A2"/>
    <w:rsid w:val="00405CA0"/>
    <w:rsid w:val="004066E3"/>
    <w:rsid w:val="00406B30"/>
    <w:rsid w:val="00406D24"/>
    <w:rsid w:val="00406DAF"/>
    <w:rsid w:val="00406E06"/>
    <w:rsid w:val="00406E2F"/>
    <w:rsid w:val="00406F01"/>
    <w:rsid w:val="0040735A"/>
    <w:rsid w:val="004076F9"/>
    <w:rsid w:val="00407BE2"/>
    <w:rsid w:val="00410D6D"/>
    <w:rsid w:val="00410F1B"/>
    <w:rsid w:val="004110C5"/>
    <w:rsid w:val="00411295"/>
    <w:rsid w:val="004117A5"/>
    <w:rsid w:val="00411AEC"/>
    <w:rsid w:val="00411B10"/>
    <w:rsid w:val="0041260D"/>
    <w:rsid w:val="00412A00"/>
    <w:rsid w:val="00412E19"/>
    <w:rsid w:val="004130DC"/>
    <w:rsid w:val="0041330A"/>
    <w:rsid w:val="004136EB"/>
    <w:rsid w:val="00413B6F"/>
    <w:rsid w:val="00413CF8"/>
    <w:rsid w:val="00413EB0"/>
    <w:rsid w:val="004147E4"/>
    <w:rsid w:val="00414ADB"/>
    <w:rsid w:val="00415909"/>
    <w:rsid w:val="00415975"/>
    <w:rsid w:val="004160F8"/>
    <w:rsid w:val="00416697"/>
    <w:rsid w:val="0041696F"/>
    <w:rsid w:val="00416ACA"/>
    <w:rsid w:val="00416D50"/>
    <w:rsid w:val="00416FD5"/>
    <w:rsid w:val="004175A5"/>
    <w:rsid w:val="00417772"/>
    <w:rsid w:val="004200A9"/>
    <w:rsid w:val="0042085E"/>
    <w:rsid w:val="00420BB4"/>
    <w:rsid w:val="00420E6A"/>
    <w:rsid w:val="00421871"/>
    <w:rsid w:val="00421E2E"/>
    <w:rsid w:val="00421F65"/>
    <w:rsid w:val="00422454"/>
    <w:rsid w:val="00422484"/>
    <w:rsid w:val="004226F7"/>
    <w:rsid w:val="0042329F"/>
    <w:rsid w:val="00423311"/>
    <w:rsid w:val="0042337C"/>
    <w:rsid w:val="00423851"/>
    <w:rsid w:val="0042470C"/>
    <w:rsid w:val="00424A02"/>
    <w:rsid w:val="00424D84"/>
    <w:rsid w:val="00424D85"/>
    <w:rsid w:val="00425285"/>
    <w:rsid w:val="00425A9E"/>
    <w:rsid w:val="00425EAC"/>
    <w:rsid w:val="00425FC0"/>
    <w:rsid w:val="00426D6B"/>
    <w:rsid w:val="00426DF3"/>
    <w:rsid w:val="00426F9F"/>
    <w:rsid w:val="00430A23"/>
    <w:rsid w:val="00430DB1"/>
    <w:rsid w:val="0043121A"/>
    <w:rsid w:val="004313AA"/>
    <w:rsid w:val="00431853"/>
    <w:rsid w:val="00431E6C"/>
    <w:rsid w:val="00432377"/>
    <w:rsid w:val="004332A0"/>
    <w:rsid w:val="004336E3"/>
    <w:rsid w:val="0043399C"/>
    <w:rsid w:val="004339BE"/>
    <w:rsid w:val="00433CE7"/>
    <w:rsid w:val="00433FF4"/>
    <w:rsid w:val="00434048"/>
    <w:rsid w:val="00434442"/>
    <w:rsid w:val="00434D04"/>
    <w:rsid w:val="00434F75"/>
    <w:rsid w:val="0043528D"/>
    <w:rsid w:val="00435DCD"/>
    <w:rsid w:val="00435EB4"/>
    <w:rsid w:val="0043769C"/>
    <w:rsid w:val="00437A6B"/>
    <w:rsid w:val="00437F74"/>
    <w:rsid w:val="00440553"/>
    <w:rsid w:val="00440C32"/>
    <w:rsid w:val="00441455"/>
    <w:rsid w:val="0044163C"/>
    <w:rsid w:val="00442080"/>
    <w:rsid w:val="00442234"/>
    <w:rsid w:val="00442337"/>
    <w:rsid w:val="004429E5"/>
    <w:rsid w:val="00443AD2"/>
    <w:rsid w:val="00443EDC"/>
    <w:rsid w:val="0044470F"/>
    <w:rsid w:val="00444B06"/>
    <w:rsid w:val="004453ED"/>
    <w:rsid w:val="00445476"/>
    <w:rsid w:val="00445B4B"/>
    <w:rsid w:val="00445E41"/>
    <w:rsid w:val="00445EE1"/>
    <w:rsid w:val="00446329"/>
    <w:rsid w:val="0044644A"/>
    <w:rsid w:val="004466DD"/>
    <w:rsid w:val="004466FB"/>
    <w:rsid w:val="004473DD"/>
    <w:rsid w:val="004478A7"/>
    <w:rsid w:val="00447E7B"/>
    <w:rsid w:val="004503EC"/>
    <w:rsid w:val="00450430"/>
    <w:rsid w:val="0045115E"/>
    <w:rsid w:val="00451D18"/>
    <w:rsid w:val="00451DC9"/>
    <w:rsid w:val="0045214E"/>
    <w:rsid w:val="00452206"/>
    <w:rsid w:val="0045228B"/>
    <w:rsid w:val="00452409"/>
    <w:rsid w:val="004524DD"/>
    <w:rsid w:val="00452738"/>
    <w:rsid w:val="00452B66"/>
    <w:rsid w:val="00452E14"/>
    <w:rsid w:val="004533AE"/>
    <w:rsid w:val="00453B67"/>
    <w:rsid w:val="0045470D"/>
    <w:rsid w:val="004547D6"/>
    <w:rsid w:val="00454AEC"/>
    <w:rsid w:val="00454E77"/>
    <w:rsid w:val="00455050"/>
    <w:rsid w:val="004550FC"/>
    <w:rsid w:val="004558F7"/>
    <w:rsid w:val="00455DE1"/>
    <w:rsid w:val="00456091"/>
    <w:rsid w:val="0045626B"/>
    <w:rsid w:val="004566BF"/>
    <w:rsid w:val="0045714F"/>
    <w:rsid w:val="004574DD"/>
    <w:rsid w:val="004579C1"/>
    <w:rsid w:val="00457B1A"/>
    <w:rsid w:val="0046062A"/>
    <w:rsid w:val="00460870"/>
    <w:rsid w:val="00461598"/>
    <w:rsid w:val="00461741"/>
    <w:rsid w:val="004618E1"/>
    <w:rsid w:val="0046203D"/>
    <w:rsid w:val="00462D95"/>
    <w:rsid w:val="00462E98"/>
    <w:rsid w:val="0046342B"/>
    <w:rsid w:val="0046409B"/>
    <w:rsid w:val="00464899"/>
    <w:rsid w:val="00464DBA"/>
    <w:rsid w:val="00464E19"/>
    <w:rsid w:val="00465027"/>
    <w:rsid w:val="00466321"/>
    <w:rsid w:val="0046662B"/>
    <w:rsid w:val="00466845"/>
    <w:rsid w:val="00466886"/>
    <w:rsid w:val="00466D85"/>
    <w:rsid w:val="00467477"/>
    <w:rsid w:val="00467577"/>
    <w:rsid w:val="004678E1"/>
    <w:rsid w:val="00467DAF"/>
    <w:rsid w:val="00467FDA"/>
    <w:rsid w:val="004724FD"/>
    <w:rsid w:val="00472D47"/>
    <w:rsid w:val="00473C47"/>
    <w:rsid w:val="004740C6"/>
    <w:rsid w:val="004741F9"/>
    <w:rsid w:val="0047512C"/>
    <w:rsid w:val="004751A5"/>
    <w:rsid w:val="0047522F"/>
    <w:rsid w:val="004754CA"/>
    <w:rsid w:val="00475769"/>
    <w:rsid w:val="00480540"/>
    <w:rsid w:val="00480677"/>
    <w:rsid w:val="004806E6"/>
    <w:rsid w:val="00481061"/>
    <w:rsid w:val="004814E2"/>
    <w:rsid w:val="004816D2"/>
    <w:rsid w:val="00481BCE"/>
    <w:rsid w:val="0048240A"/>
    <w:rsid w:val="00482623"/>
    <w:rsid w:val="0048282A"/>
    <w:rsid w:val="00482F36"/>
    <w:rsid w:val="00483644"/>
    <w:rsid w:val="00483907"/>
    <w:rsid w:val="004846A1"/>
    <w:rsid w:val="00484B9B"/>
    <w:rsid w:val="00484EB1"/>
    <w:rsid w:val="004854F9"/>
    <w:rsid w:val="004855F6"/>
    <w:rsid w:val="00485A4B"/>
    <w:rsid w:val="00485DC7"/>
    <w:rsid w:val="00485EB7"/>
    <w:rsid w:val="004864BD"/>
    <w:rsid w:val="0048661E"/>
    <w:rsid w:val="00486D76"/>
    <w:rsid w:val="00487569"/>
    <w:rsid w:val="00487F2E"/>
    <w:rsid w:val="00490388"/>
    <w:rsid w:val="0049046D"/>
    <w:rsid w:val="004912A0"/>
    <w:rsid w:val="0049137A"/>
    <w:rsid w:val="00491A05"/>
    <w:rsid w:val="00491E31"/>
    <w:rsid w:val="004928C4"/>
    <w:rsid w:val="0049301E"/>
    <w:rsid w:val="004931D5"/>
    <w:rsid w:val="004932C8"/>
    <w:rsid w:val="0049339C"/>
    <w:rsid w:val="004934FB"/>
    <w:rsid w:val="00493EC0"/>
    <w:rsid w:val="004940E8"/>
    <w:rsid w:val="00494670"/>
    <w:rsid w:val="00494A0C"/>
    <w:rsid w:val="00494A8E"/>
    <w:rsid w:val="004963D0"/>
    <w:rsid w:val="004968E5"/>
    <w:rsid w:val="00496B35"/>
    <w:rsid w:val="00497096"/>
    <w:rsid w:val="004974CA"/>
    <w:rsid w:val="00497F08"/>
    <w:rsid w:val="004A01DE"/>
    <w:rsid w:val="004A04F9"/>
    <w:rsid w:val="004A0B43"/>
    <w:rsid w:val="004A10EF"/>
    <w:rsid w:val="004A1E9F"/>
    <w:rsid w:val="004A1F50"/>
    <w:rsid w:val="004A231A"/>
    <w:rsid w:val="004A233B"/>
    <w:rsid w:val="004A24C9"/>
    <w:rsid w:val="004A2694"/>
    <w:rsid w:val="004A2A6F"/>
    <w:rsid w:val="004A2C18"/>
    <w:rsid w:val="004A2E31"/>
    <w:rsid w:val="004A3823"/>
    <w:rsid w:val="004A3B9C"/>
    <w:rsid w:val="004A3F76"/>
    <w:rsid w:val="004A4B3F"/>
    <w:rsid w:val="004A5213"/>
    <w:rsid w:val="004A534F"/>
    <w:rsid w:val="004A6326"/>
    <w:rsid w:val="004A7347"/>
    <w:rsid w:val="004A77D4"/>
    <w:rsid w:val="004B0431"/>
    <w:rsid w:val="004B04A1"/>
    <w:rsid w:val="004B083A"/>
    <w:rsid w:val="004B0923"/>
    <w:rsid w:val="004B09AA"/>
    <w:rsid w:val="004B2268"/>
    <w:rsid w:val="004B2C0F"/>
    <w:rsid w:val="004B2FA1"/>
    <w:rsid w:val="004B3192"/>
    <w:rsid w:val="004B31CC"/>
    <w:rsid w:val="004B370B"/>
    <w:rsid w:val="004B392E"/>
    <w:rsid w:val="004B4247"/>
    <w:rsid w:val="004B4928"/>
    <w:rsid w:val="004B4B9E"/>
    <w:rsid w:val="004B526B"/>
    <w:rsid w:val="004B5348"/>
    <w:rsid w:val="004B61DE"/>
    <w:rsid w:val="004B6565"/>
    <w:rsid w:val="004B6D1E"/>
    <w:rsid w:val="004B6F57"/>
    <w:rsid w:val="004B6F88"/>
    <w:rsid w:val="004B709E"/>
    <w:rsid w:val="004B71EA"/>
    <w:rsid w:val="004B795C"/>
    <w:rsid w:val="004B7DFC"/>
    <w:rsid w:val="004C1108"/>
    <w:rsid w:val="004C1132"/>
    <w:rsid w:val="004C13F6"/>
    <w:rsid w:val="004C1A80"/>
    <w:rsid w:val="004C2234"/>
    <w:rsid w:val="004C3E88"/>
    <w:rsid w:val="004C3EA7"/>
    <w:rsid w:val="004C4685"/>
    <w:rsid w:val="004C4967"/>
    <w:rsid w:val="004C4C39"/>
    <w:rsid w:val="004C510D"/>
    <w:rsid w:val="004C5702"/>
    <w:rsid w:val="004C57DD"/>
    <w:rsid w:val="004C5E8D"/>
    <w:rsid w:val="004C65F9"/>
    <w:rsid w:val="004C718B"/>
    <w:rsid w:val="004C74D2"/>
    <w:rsid w:val="004C7640"/>
    <w:rsid w:val="004C766A"/>
    <w:rsid w:val="004C77D6"/>
    <w:rsid w:val="004C7B92"/>
    <w:rsid w:val="004C7FDB"/>
    <w:rsid w:val="004D046E"/>
    <w:rsid w:val="004D1064"/>
    <w:rsid w:val="004D2154"/>
    <w:rsid w:val="004D2628"/>
    <w:rsid w:val="004D2CC2"/>
    <w:rsid w:val="004D2D61"/>
    <w:rsid w:val="004D3377"/>
    <w:rsid w:val="004D3EC5"/>
    <w:rsid w:val="004D4C6D"/>
    <w:rsid w:val="004D4FD6"/>
    <w:rsid w:val="004D5421"/>
    <w:rsid w:val="004D5EE0"/>
    <w:rsid w:val="004D61DF"/>
    <w:rsid w:val="004D63C4"/>
    <w:rsid w:val="004D722C"/>
    <w:rsid w:val="004D742C"/>
    <w:rsid w:val="004E1077"/>
    <w:rsid w:val="004E10FA"/>
    <w:rsid w:val="004E11C3"/>
    <w:rsid w:val="004E172B"/>
    <w:rsid w:val="004E1C55"/>
    <w:rsid w:val="004E2425"/>
    <w:rsid w:val="004E2695"/>
    <w:rsid w:val="004E2894"/>
    <w:rsid w:val="004E3000"/>
    <w:rsid w:val="004E3FA9"/>
    <w:rsid w:val="004E44E6"/>
    <w:rsid w:val="004E4E23"/>
    <w:rsid w:val="004E4E2E"/>
    <w:rsid w:val="004E53EF"/>
    <w:rsid w:val="004E6946"/>
    <w:rsid w:val="004E70A7"/>
    <w:rsid w:val="004F067D"/>
    <w:rsid w:val="004F10F0"/>
    <w:rsid w:val="004F160D"/>
    <w:rsid w:val="004F18B6"/>
    <w:rsid w:val="004F18BA"/>
    <w:rsid w:val="004F1AD8"/>
    <w:rsid w:val="004F1ECF"/>
    <w:rsid w:val="004F2A7C"/>
    <w:rsid w:val="004F2B54"/>
    <w:rsid w:val="004F37E6"/>
    <w:rsid w:val="004F3E0F"/>
    <w:rsid w:val="004F4B43"/>
    <w:rsid w:val="004F4D30"/>
    <w:rsid w:val="004F50B6"/>
    <w:rsid w:val="004F57A0"/>
    <w:rsid w:val="004F6203"/>
    <w:rsid w:val="004F669C"/>
    <w:rsid w:val="004F6AD7"/>
    <w:rsid w:val="004F6E6B"/>
    <w:rsid w:val="004F7C6F"/>
    <w:rsid w:val="00500D46"/>
    <w:rsid w:val="005010E2"/>
    <w:rsid w:val="00501B18"/>
    <w:rsid w:val="00502664"/>
    <w:rsid w:val="0050295B"/>
    <w:rsid w:val="00502CCB"/>
    <w:rsid w:val="005037C1"/>
    <w:rsid w:val="005039CB"/>
    <w:rsid w:val="00503BE4"/>
    <w:rsid w:val="00503BF0"/>
    <w:rsid w:val="0050408D"/>
    <w:rsid w:val="00504462"/>
    <w:rsid w:val="00504F25"/>
    <w:rsid w:val="00505091"/>
    <w:rsid w:val="005054B7"/>
    <w:rsid w:val="0050558F"/>
    <w:rsid w:val="005055A9"/>
    <w:rsid w:val="00505876"/>
    <w:rsid w:val="00505A2E"/>
    <w:rsid w:val="00505D26"/>
    <w:rsid w:val="005060FF"/>
    <w:rsid w:val="00506159"/>
    <w:rsid w:val="00506286"/>
    <w:rsid w:val="00506C24"/>
    <w:rsid w:val="00510813"/>
    <w:rsid w:val="00510F28"/>
    <w:rsid w:val="00511990"/>
    <w:rsid w:val="00511AE9"/>
    <w:rsid w:val="00511DE0"/>
    <w:rsid w:val="00511F13"/>
    <w:rsid w:val="00512866"/>
    <w:rsid w:val="00512C54"/>
    <w:rsid w:val="005130BD"/>
    <w:rsid w:val="0051334C"/>
    <w:rsid w:val="00513679"/>
    <w:rsid w:val="00513DBF"/>
    <w:rsid w:val="005145CD"/>
    <w:rsid w:val="005146EF"/>
    <w:rsid w:val="00514870"/>
    <w:rsid w:val="00514A96"/>
    <w:rsid w:val="00514B9B"/>
    <w:rsid w:val="00514BF4"/>
    <w:rsid w:val="005156E5"/>
    <w:rsid w:val="00515CDE"/>
    <w:rsid w:val="00515D52"/>
    <w:rsid w:val="00515E7D"/>
    <w:rsid w:val="00516894"/>
    <w:rsid w:val="005171BF"/>
    <w:rsid w:val="005175DB"/>
    <w:rsid w:val="00517C38"/>
    <w:rsid w:val="00517F02"/>
    <w:rsid w:val="00520708"/>
    <w:rsid w:val="00520F81"/>
    <w:rsid w:val="005210C0"/>
    <w:rsid w:val="0052192C"/>
    <w:rsid w:val="005219FC"/>
    <w:rsid w:val="00521A02"/>
    <w:rsid w:val="005223CC"/>
    <w:rsid w:val="005230D0"/>
    <w:rsid w:val="00523217"/>
    <w:rsid w:val="005238D6"/>
    <w:rsid w:val="00524022"/>
    <w:rsid w:val="0052407F"/>
    <w:rsid w:val="00524303"/>
    <w:rsid w:val="00524379"/>
    <w:rsid w:val="005248CF"/>
    <w:rsid w:val="00525214"/>
    <w:rsid w:val="0052569D"/>
    <w:rsid w:val="005258A2"/>
    <w:rsid w:val="00526073"/>
    <w:rsid w:val="005261D9"/>
    <w:rsid w:val="00526C08"/>
    <w:rsid w:val="00527379"/>
    <w:rsid w:val="00527524"/>
    <w:rsid w:val="005279F1"/>
    <w:rsid w:val="0053069F"/>
    <w:rsid w:val="005307B1"/>
    <w:rsid w:val="00530A51"/>
    <w:rsid w:val="00530AEC"/>
    <w:rsid w:val="00530C44"/>
    <w:rsid w:val="005314F7"/>
    <w:rsid w:val="00531C1B"/>
    <w:rsid w:val="005332E3"/>
    <w:rsid w:val="005338EA"/>
    <w:rsid w:val="00533933"/>
    <w:rsid w:val="00533B76"/>
    <w:rsid w:val="005358F2"/>
    <w:rsid w:val="005367C0"/>
    <w:rsid w:val="00536B15"/>
    <w:rsid w:val="00536BF8"/>
    <w:rsid w:val="005372C5"/>
    <w:rsid w:val="00537422"/>
    <w:rsid w:val="005401AE"/>
    <w:rsid w:val="00540C53"/>
    <w:rsid w:val="00541039"/>
    <w:rsid w:val="005418F4"/>
    <w:rsid w:val="005418F5"/>
    <w:rsid w:val="00541905"/>
    <w:rsid w:val="00542185"/>
    <w:rsid w:val="005421E2"/>
    <w:rsid w:val="0054225C"/>
    <w:rsid w:val="00542802"/>
    <w:rsid w:val="00542BBB"/>
    <w:rsid w:val="00542E07"/>
    <w:rsid w:val="00543AB8"/>
    <w:rsid w:val="00543DA8"/>
    <w:rsid w:val="00545424"/>
    <w:rsid w:val="0054555F"/>
    <w:rsid w:val="00545D67"/>
    <w:rsid w:val="00545E1A"/>
    <w:rsid w:val="00545FEF"/>
    <w:rsid w:val="005460A2"/>
    <w:rsid w:val="005475CE"/>
    <w:rsid w:val="0054790F"/>
    <w:rsid w:val="005503A4"/>
    <w:rsid w:val="0055041E"/>
    <w:rsid w:val="005534B9"/>
    <w:rsid w:val="0055350B"/>
    <w:rsid w:val="005535FF"/>
    <w:rsid w:val="0055368E"/>
    <w:rsid w:val="0055382D"/>
    <w:rsid w:val="00553E51"/>
    <w:rsid w:val="00553F7C"/>
    <w:rsid w:val="005540FD"/>
    <w:rsid w:val="00554A7B"/>
    <w:rsid w:val="00554BC3"/>
    <w:rsid w:val="005554C3"/>
    <w:rsid w:val="005556C3"/>
    <w:rsid w:val="0055572C"/>
    <w:rsid w:val="005558C0"/>
    <w:rsid w:val="00555F6D"/>
    <w:rsid w:val="00556678"/>
    <w:rsid w:val="00557286"/>
    <w:rsid w:val="005574FB"/>
    <w:rsid w:val="00560353"/>
    <w:rsid w:val="005603B7"/>
    <w:rsid w:val="00560462"/>
    <w:rsid w:val="005604DD"/>
    <w:rsid w:val="0056059F"/>
    <w:rsid w:val="005607FE"/>
    <w:rsid w:val="0056106A"/>
    <w:rsid w:val="00561946"/>
    <w:rsid w:val="00561B0C"/>
    <w:rsid w:val="00561E6F"/>
    <w:rsid w:val="00561FBA"/>
    <w:rsid w:val="00562561"/>
    <w:rsid w:val="0056333A"/>
    <w:rsid w:val="00563BEB"/>
    <w:rsid w:val="0056452D"/>
    <w:rsid w:val="00564E44"/>
    <w:rsid w:val="00564FD7"/>
    <w:rsid w:val="00565039"/>
    <w:rsid w:val="005650F3"/>
    <w:rsid w:val="00566A0F"/>
    <w:rsid w:val="0056700C"/>
    <w:rsid w:val="005672D3"/>
    <w:rsid w:val="00567574"/>
    <w:rsid w:val="00567581"/>
    <w:rsid w:val="00567C17"/>
    <w:rsid w:val="00570543"/>
    <w:rsid w:val="00571118"/>
    <w:rsid w:val="00571C76"/>
    <w:rsid w:val="005720AE"/>
    <w:rsid w:val="0057222D"/>
    <w:rsid w:val="00572301"/>
    <w:rsid w:val="00572ED3"/>
    <w:rsid w:val="0057301A"/>
    <w:rsid w:val="00573825"/>
    <w:rsid w:val="00574334"/>
    <w:rsid w:val="0057489C"/>
    <w:rsid w:val="00574C2A"/>
    <w:rsid w:val="00574FB0"/>
    <w:rsid w:val="00574FD6"/>
    <w:rsid w:val="005758E3"/>
    <w:rsid w:val="00575C90"/>
    <w:rsid w:val="00576165"/>
    <w:rsid w:val="00576D5A"/>
    <w:rsid w:val="005801B9"/>
    <w:rsid w:val="005817AF"/>
    <w:rsid w:val="0058182D"/>
    <w:rsid w:val="00581E05"/>
    <w:rsid w:val="005820FE"/>
    <w:rsid w:val="0058263C"/>
    <w:rsid w:val="005830EC"/>
    <w:rsid w:val="00584036"/>
    <w:rsid w:val="0058495D"/>
    <w:rsid w:val="00584B86"/>
    <w:rsid w:val="00584E18"/>
    <w:rsid w:val="00585232"/>
    <w:rsid w:val="005852C3"/>
    <w:rsid w:val="00585B4F"/>
    <w:rsid w:val="00586A42"/>
    <w:rsid w:val="00586AF9"/>
    <w:rsid w:val="00586DCA"/>
    <w:rsid w:val="00586E5B"/>
    <w:rsid w:val="00587054"/>
    <w:rsid w:val="00587D96"/>
    <w:rsid w:val="005900EE"/>
    <w:rsid w:val="0059054B"/>
    <w:rsid w:val="00590CAD"/>
    <w:rsid w:val="00590E13"/>
    <w:rsid w:val="00591372"/>
    <w:rsid w:val="005921BC"/>
    <w:rsid w:val="005922E8"/>
    <w:rsid w:val="005942B9"/>
    <w:rsid w:val="00594682"/>
    <w:rsid w:val="00594D77"/>
    <w:rsid w:val="00595C08"/>
    <w:rsid w:val="005967ED"/>
    <w:rsid w:val="005969E4"/>
    <w:rsid w:val="0059777B"/>
    <w:rsid w:val="005977DE"/>
    <w:rsid w:val="00597834"/>
    <w:rsid w:val="00597A8C"/>
    <w:rsid w:val="00597B3E"/>
    <w:rsid w:val="005A04F8"/>
    <w:rsid w:val="005A06B7"/>
    <w:rsid w:val="005A0817"/>
    <w:rsid w:val="005A1212"/>
    <w:rsid w:val="005A157B"/>
    <w:rsid w:val="005A1759"/>
    <w:rsid w:val="005A2056"/>
    <w:rsid w:val="005A2113"/>
    <w:rsid w:val="005A2258"/>
    <w:rsid w:val="005A2619"/>
    <w:rsid w:val="005A3788"/>
    <w:rsid w:val="005A407B"/>
    <w:rsid w:val="005A5191"/>
    <w:rsid w:val="005A57DD"/>
    <w:rsid w:val="005A5A75"/>
    <w:rsid w:val="005A5B25"/>
    <w:rsid w:val="005A6355"/>
    <w:rsid w:val="005A64E2"/>
    <w:rsid w:val="005A67B5"/>
    <w:rsid w:val="005A68A7"/>
    <w:rsid w:val="005A7143"/>
    <w:rsid w:val="005A752E"/>
    <w:rsid w:val="005A7575"/>
    <w:rsid w:val="005B0348"/>
    <w:rsid w:val="005B0A88"/>
    <w:rsid w:val="005B0FDE"/>
    <w:rsid w:val="005B1A9D"/>
    <w:rsid w:val="005B1F81"/>
    <w:rsid w:val="005B2189"/>
    <w:rsid w:val="005B21A0"/>
    <w:rsid w:val="005B24E1"/>
    <w:rsid w:val="005B2711"/>
    <w:rsid w:val="005B37DF"/>
    <w:rsid w:val="005B3917"/>
    <w:rsid w:val="005B3D48"/>
    <w:rsid w:val="005B3EBE"/>
    <w:rsid w:val="005B3F46"/>
    <w:rsid w:val="005B4883"/>
    <w:rsid w:val="005B4D13"/>
    <w:rsid w:val="005B5109"/>
    <w:rsid w:val="005B5561"/>
    <w:rsid w:val="005B5AAF"/>
    <w:rsid w:val="005B5D57"/>
    <w:rsid w:val="005B5D8C"/>
    <w:rsid w:val="005B5E4E"/>
    <w:rsid w:val="005B66F2"/>
    <w:rsid w:val="005B70A6"/>
    <w:rsid w:val="005B70AB"/>
    <w:rsid w:val="005B77B7"/>
    <w:rsid w:val="005B77DE"/>
    <w:rsid w:val="005B7811"/>
    <w:rsid w:val="005B7842"/>
    <w:rsid w:val="005C00C7"/>
    <w:rsid w:val="005C066E"/>
    <w:rsid w:val="005C0805"/>
    <w:rsid w:val="005C0C5B"/>
    <w:rsid w:val="005C109B"/>
    <w:rsid w:val="005C1517"/>
    <w:rsid w:val="005C15C4"/>
    <w:rsid w:val="005C2397"/>
    <w:rsid w:val="005C2952"/>
    <w:rsid w:val="005C2C4F"/>
    <w:rsid w:val="005C2E7E"/>
    <w:rsid w:val="005C3466"/>
    <w:rsid w:val="005C39D1"/>
    <w:rsid w:val="005C3F55"/>
    <w:rsid w:val="005C4341"/>
    <w:rsid w:val="005C460E"/>
    <w:rsid w:val="005C4779"/>
    <w:rsid w:val="005C4AEE"/>
    <w:rsid w:val="005C4EA1"/>
    <w:rsid w:val="005C568A"/>
    <w:rsid w:val="005C577A"/>
    <w:rsid w:val="005C5829"/>
    <w:rsid w:val="005C6972"/>
    <w:rsid w:val="005C6ED3"/>
    <w:rsid w:val="005C70DF"/>
    <w:rsid w:val="005D0E76"/>
    <w:rsid w:val="005D1527"/>
    <w:rsid w:val="005D163A"/>
    <w:rsid w:val="005D17FD"/>
    <w:rsid w:val="005D1A55"/>
    <w:rsid w:val="005D1EB6"/>
    <w:rsid w:val="005D1F15"/>
    <w:rsid w:val="005D1F99"/>
    <w:rsid w:val="005D226B"/>
    <w:rsid w:val="005D2559"/>
    <w:rsid w:val="005D2596"/>
    <w:rsid w:val="005D2DC3"/>
    <w:rsid w:val="005D36AB"/>
    <w:rsid w:val="005D4117"/>
    <w:rsid w:val="005D4A02"/>
    <w:rsid w:val="005D52E7"/>
    <w:rsid w:val="005D6AED"/>
    <w:rsid w:val="005D6FFC"/>
    <w:rsid w:val="005D755B"/>
    <w:rsid w:val="005E0410"/>
    <w:rsid w:val="005E045C"/>
    <w:rsid w:val="005E09F9"/>
    <w:rsid w:val="005E12A0"/>
    <w:rsid w:val="005E19DC"/>
    <w:rsid w:val="005E1F48"/>
    <w:rsid w:val="005E22CF"/>
    <w:rsid w:val="005E24F8"/>
    <w:rsid w:val="005E25F3"/>
    <w:rsid w:val="005E2621"/>
    <w:rsid w:val="005E2EC2"/>
    <w:rsid w:val="005E36CB"/>
    <w:rsid w:val="005E3759"/>
    <w:rsid w:val="005E4153"/>
    <w:rsid w:val="005E4519"/>
    <w:rsid w:val="005E4F7E"/>
    <w:rsid w:val="005E5182"/>
    <w:rsid w:val="005E5300"/>
    <w:rsid w:val="005E620D"/>
    <w:rsid w:val="005E63CA"/>
    <w:rsid w:val="005E69B7"/>
    <w:rsid w:val="005E6E43"/>
    <w:rsid w:val="005E789C"/>
    <w:rsid w:val="005E7B11"/>
    <w:rsid w:val="005F0026"/>
    <w:rsid w:val="005F060D"/>
    <w:rsid w:val="005F06A9"/>
    <w:rsid w:val="005F0731"/>
    <w:rsid w:val="005F1A15"/>
    <w:rsid w:val="005F1D6C"/>
    <w:rsid w:val="005F23FB"/>
    <w:rsid w:val="005F2D52"/>
    <w:rsid w:val="005F2EBF"/>
    <w:rsid w:val="005F32B0"/>
    <w:rsid w:val="005F33C0"/>
    <w:rsid w:val="005F3990"/>
    <w:rsid w:val="005F3B68"/>
    <w:rsid w:val="005F4598"/>
    <w:rsid w:val="005F45D7"/>
    <w:rsid w:val="005F4A4C"/>
    <w:rsid w:val="005F4AC6"/>
    <w:rsid w:val="005F4B24"/>
    <w:rsid w:val="005F4C2F"/>
    <w:rsid w:val="005F54AF"/>
    <w:rsid w:val="005F5C09"/>
    <w:rsid w:val="005F5EFD"/>
    <w:rsid w:val="005F62C7"/>
    <w:rsid w:val="005F63B8"/>
    <w:rsid w:val="005F652B"/>
    <w:rsid w:val="00600003"/>
    <w:rsid w:val="0060014F"/>
    <w:rsid w:val="0060034F"/>
    <w:rsid w:val="00600550"/>
    <w:rsid w:val="006005B9"/>
    <w:rsid w:val="00600DBC"/>
    <w:rsid w:val="00601930"/>
    <w:rsid w:val="00601AB0"/>
    <w:rsid w:val="00602B2C"/>
    <w:rsid w:val="00603256"/>
    <w:rsid w:val="0060347B"/>
    <w:rsid w:val="00603510"/>
    <w:rsid w:val="0060398A"/>
    <w:rsid w:val="00603A1C"/>
    <w:rsid w:val="00604018"/>
    <w:rsid w:val="006044C6"/>
    <w:rsid w:val="006044F2"/>
    <w:rsid w:val="00604716"/>
    <w:rsid w:val="00604FB0"/>
    <w:rsid w:val="006051EF"/>
    <w:rsid w:val="0060539F"/>
    <w:rsid w:val="00605957"/>
    <w:rsid w:val="00605BB5"/>
    <w:rsid w:val="00606F6C"/>
    <w:rsid w:val="0060774B"/>
    <w:rsid w:val="00607BA8"/>
    <w:rsid w:val="00607D81"/>
    <w:rsid w:val="006100EC"/>
    <w:rsid w:val="006101BB"/>
    <w:rsid w:val="00610B74"/>
    <w:rsid w:val="00610EE1"/>
    <w:rsid w:val="00610FAC"/>
    <w:rsid w:val="00611131"/>
    <w:rsid w:val="006113E1"/>
    <w:rsid w:val="0061140D"/>
    <w:rsid w:val="006116B3"/>
    <w:rsid w:val="00611A4A"/>
    <w:rsid w:val="00611B5A"/>
    <w:rsid w:val="00611B82"/>
    <w:rsid w:val="00611FD5"/>
    <w:rsid w:val="006126EB"/>
    <w:rsid w:val="006131AB"/>
    <w:rsid w:val="00613757"/>
    <w:rsid w:val="00613F4C"/>
    <w:rsid w:val="006142C5"/>
    <w:rsid w:val="0061441C"/>
    <w:rsid w:val="0061462E"/>
    <w:rsid w:val="0061523C"/>
    <w:rsid w:val="00615B84"/>
    <w:rsid w:val="00615C9A"/>
    <w:rsid w:val="00616747"/>
    <w:rsid w:val="00616E7C"/>
    <w:rsid w:val="00617CC3"/>
    <w:rsid w:val="00617DB5"/>
    <w:rsid w:val="00617F76"/>
    <w:rsid w:val="00620427"/>
    <w:rsid w:val="00620CD5"/>
    <w:rsid w:val="0062119C"/>
    <w:rsid w:val="006211D6"/>
    <w:rsid w:val="00621738"/>
    <w:rsid w:val="00621850"/>
    <w:rsid w:val="00621AC5"/>
    <w:rsid w:val="006224D7"/>
    <w:rsid w:val="00622596"/>
    <w:rsid w:val="00622CC2"/>
    <w:rsid w:val="00622E7D"/>
    <w:rsid w:val="00622F3D"/>
    <w:rsid w:val="00623686"/>
    <w:rsid w:val="00624231"/>
    <w:rsid w:val="00624284"/>
    <w:rsid w:val="00624E6E"/>
    <w:rsid w:val="00625045"/>
    <w:rsid w:val="0062509C"/>
    <w:rsid w:val="006253F5"/>
    <w:rsid w:val="00625A92"/>
    <w:rsid w:val="00625B6F"/>
    <w:rsid w:val="0062655B"/>
    <w:rsid w:val="0062687B"/>
    <w:rsid w:val="00626E73"/>
    <w:rsid w:val="00627169"/>
    <w:rsid w:val="00627800"/>
    <w:rsid w:val="006278A5"/>
    <w:rsid w:val="0062794B"/>
    <w:rsid w:val="00627971"/>
    <w:rsid w:val="0063018E"/>
    <w:rsid w:val="00630BA3"/>
    <w:rsid w:val="00630C6B"/>
    <w:rsid w:val="00630CD4"/>
    <w:rsid w:val="00631352"/>
    <w:rsid w:val="00631380"/>
    <w:rsid w:val="0063179E"/>
    <w:rsid w:val="00631CAE"/>
    <w:rsid w:val="0063201C"/>
    <w:rsid w:val="00632CEE"/>
    <w:rsid w:val="00632DC6"/>
    <w:rsid w:val="00633296"/>
    <w:rsid w:val="006334D9"/>
    <w:rsid w:val="00633EF8"/>
    <w:rsid w:val="00634142"/>
    <w:rsid w:val="006341F4"/>
    <w:rsid w:val="00634B67"/>
    <w:rsid w:val="00635088"/>
    <w:rsid w:val="006358C6"/>
    <w:rsid w:val="00635CA5"/>
    <w:rsid w:val="00635D6D"/>
    <w:rsid w:val="00635D97"/>
    <w:rsid w:val="00636453"/>
    <w:rsid w:val="00636A8B"/>
    <w:rsid w:val="00637653"/>
    <w:rsid w:val="006377A6"/>
    <w:rsid w:val="00637A3D"/>
    <w:rsid w:val="00637E5A"/>
    <w:rsid w:val="0064046B"/>
    <w:rsid w:val="0064091F"/>
    <w:rsid w:val="00640EC0"/>
    <w:rsid w:val="006411EF"/>
    <w:rsid w:val="00641789"/>
    <w:rsid w:val="00641E0A"/>
    <w:rsid w:val="00642181"/>
    <w:rsid w:val="0064262E"/>
    <w:rsid w:val="006436B3"/>
    <w:rsid w:val="00643DC4"/>
    <w:rsid w:val="00643F0A"/>
    <w:rsid w:val="0064411E"/>
    <w:rsid w:val="00644671"/>
    <w:rsid w:val="00645891"/>
    <w:rsid w:val="00645EC6"/>
    <w:rsid w:val="006460DA"/>
    <w:rsid w:val="006464CE"/>
    <w:rsid w:val="00646CB1"/>
    <w:rsid w:val="006470B2"/>
    <w:rsid w:val="00647A8C"/>
    <w:rsid w:val="0065009F"/>
    <w:rsid w:val="00650872"/>
    <w:rsid w:val="00650E08"/>
    <w:rsid w:val="0065101F"/>
    <w:rsid w:val="0065103A"/>
    <w:rsid w:val="00651AFD"/>
    <w:rsid w:val="00651B40"/>
    <w:rsid w:val="00651DAF"/>
    <w:rsid w:val="0065201A"/>
    <w:rsid w:val="00653609"/>
    <w:rsid w:val="006537EE"/>
    <w:rsid w:val="006542B7"/>
    <w:rsid w:val="0065436C"/>
    <w:rsid w:val="006549A0"/>
    <w:rsid w:val="00654EA4"/>
    <w:rsid w:val="0065529D"/>
    <w:rsid w:val="006553B6"/>
    <w:rsid w:val="00655820"/>
    <w:rsid w:val="00655AD8"/>
    <w:rsid w:val="00655DD5"/>
    <w:rsid w:val="006562D3"/>
    <w:rsid w:val="00657403"/>
    <w:rsid w:val="00657B17"/>
    <w:rsid w:val="00657FBD"/>
    <w:rsid w:val="006610E3"/>
    <w:rsid w:val="00661AEC"/>
    <w:rsid w:val="00662268"/>
    <w:rsid w:val="0066234F"/>
    <w:rsid w:val="00662CAE"/>
    <w:rsid w:val="006631DF"/>
    <w:rsid w:val="006634F3"/>
    <w:rsid w:val="006635F0"/>
    <w:rsid w:val="0066378C"/>
    <w:rsid w:val="0066395C"/>
    <w:rsid w:val="0066428F"/>
    <w:rsid w:val="00664B34"/>
    <w:rsid w:val="00664C1E"/>
    <w:rsid w:val="00664D25"/>
    <w:rsid w:val="00664E22"/>
    <w:rsid w:val="0066576D"/>
    <w:rsid w:val="006658CA"/>
    <w:rsid w:val="00665ADB"/>
    <w:rsid w:val="00665BF3"/>
    <w:rsid w:val="00666D67"/>
    <w:rsid w:val="00666EC3"/>
    <w:rsid w:val="006674BE"/>
    <w:rsid w:val="00667E83"/>
    <w:rsid w:val="0067001E"/>
    <w:rsid w:val="006701AB"/>
    <w:rsid w:val="0067030B"/>
    <w:rsid w:val="00670533"/>
    <w:rsid w:val="00670885"/>
    <w:rsid w:val="00670B94"/>
    <w:rsid w:val="00670CF0"/>
    <w:rsid w:val="00670E04"/>
    <w:rsid w:val="00670E8D"/>
    <w:rsid w:val="00671527"/>
    <w:rsid w:val="00672F9C"/>
    <w:rsid w:val="0067342B"/>
    <w:rsid w:val="00673B29"/>
    <w:rsid w:val="006748B8"/>
    <w:rsid w:val="00675060"/>
    <w:rsid w:val="00675373"/>
    <w:rsid w:val="006759DB"/>
    <w:rsid w:val="00675A18"/>
    <w:rsid w:val="00675CB4"/>
    <w:rsid w:val="0067600C"/>
    <w:rsid w:val="00676071"/>
    <w:rsid w:val="0067618E"/>
    <w:rsid w:val="0067675D"/>
    <w:rsid w:val="00676844"/>
    <w:rsid w:val="00676A4B"/>
    <w:rsid w:val="006775C3"/>
    <w:rsid w:val="0068062E"/>
    <w:rsid w:val="00680A85"/>
    <w:rsid w:val="006810D1"/>
    <w:rsid w:val="006812D2"/>
    <w:rsid w:val="006814B3"/>
    <w:rsid w:val="006817DB"/>
    <w:rsid w:val="00682036"/>
    <w:rsid w:val="00682143"/>
    <w:rsid w:val="0068244D"/>
    <w:rsid w:val="006824E3"/>
    <w:rsid w:val="00682946"/>
    <w:rsid w:val="00682C99"/>
    <w:rsid w:val="0068342A"/>
    <w:rsid w:val="00683542"/>
    <w:rsid w:val="00684B32"/>
    <w:rsid w:val="00684E03"/>
    <w:rsid w:val="0068565A"/>
    <w:rsid w:val="00685B89"/>
    <w:rsid w:val="0068608A"/>
    <w:rsid w:val="006866CE"/>
    <w:rsid w:val="0068718D"/>
    <w:rsid w:val="006874CD"/>
    <w:rsid w:val="0068758C"/>
    <w:rsid w:val="00687E8A"/>
    <w:rsid w:val="00690570"/>
    <w:rsid w:val="00690674"/>
    <w:rsid w:val="0069083D"/>
    <w:rsid w:val="0069084A"/>
    <w:rsid w:val="00690FDD"/>
    <w:rsid w:val="00691012"/>
    <w:rsid w:val="00691109"/>
    <w:rsid w:val="00691424"/>
    <w:rsid w:val="006915D8"/>
    <w:rsid w:val="00691C72"/>
    <w:rsid w:val="00692250"/>
    <w:rsid w:val="006924EF"/>
    <w:rsid w:val="006925E0"/>
    <w:rsid w:val="0069290A"/>
    <w:rsid w:val="00692D05"/>
    <w:rsid w:val="00694524"/>
    <w:rsid w:val="00695755"/>
    <w:rsid w:val="006965FB"/>
    <w:rsid w:val="00697230"/>
    <w:rsid w:val="0069775A"/>
    <w:rsid w:val="00697813"/>
    <w:rsid w:val="006978EE"/>
    <w:rsid w:val="00697B82"/>
    <w:rsid w:val="006A00AD"/>
    <w:rsid w:val="006A0D3B"/>
    <w:rsid w:val="006A1459"/>
    <w:rsid w:val="006A1606"/>
    <w:rsid w:val="006A18E2"/>
    <w:rsid w:val="006A1D0B"/>
    <w:rsid w:val="006A2001"/>
    <w:rsid w:val="006A2390"/>
    <w:rsid w:val="006A2679"/>
    <w:rsid w:val="006A2B7D"/>
    <w:rsid w:val="006A306F"/>
    <w:rsid w:val="006A37E6"/>
    <w:rsid w:val="006A39A4"/>
    <w:rsid w:val="006A3B24"/>
    <w:rsid w:val="006A3E84"/>
    <w:rsid w:val="006A3EE8"/>
    <w:rsid w:val="006A3F0D"/>
    <w:rsid w:val="006A4177"/>
    <w:rsid w:val="006A468C"/>
    <w:rsid w:val="006A4C3F"/>
    <w:rsid w:val="006A4D16"/>
    <w:rsid w:val="006A546E"/>
    <w:rsid w:val="006A67CD"/>
    <w:rsid w:val="006A6E78"/>
    <w:rsid w:val="006A72BF"/>
    <w:rsid w:val="006A7421"/>
    <w:rsid w:val="006A7733"/>
    <w:rsid w:val="006A7F0D"/>
    <w:rsid w:val="006B00C7"/>
    <w:rsid w:val="006B035F"/>
    <w:rsid w:val="006B03F2"/>
    <w:rsid w:val="006B08F3"/>
    <w:rsid w:val="006B09E0"/>
    <w:rsid w:val="006B15E3"/>
    <w:rsid w:val="006B15ED"/>
    <w:rsid w:val="006B1A12"/>
    <w:rsid w:val="006B24EB"/>
    <w:rsid w:val="006B32C0"/>
    <w:rsid w:val="006B37DC"/>
    <w:rsid w:val="006B41D7"/>
    <w:rsid w:val="006B46FA"/>
    <w:rsid w:val="006B4A45"/>
    <w:rsid w:val="006B4F68"/>
    <w:rsid w:val="006B51E7"/>
    <w:rsid w:val="006B560D"/>
    <w:rsid w:val="006B592F"/>
    <w:rsid w:val="006B5B86"/>
    <w:rsid w:val="006B60E8"/>
    <w:rsid w:val="006B63BC"/>
    <w:rsid w:val="006B65ED"/>
    <w:rsid w:val="006B6B7B"/>
    <w:rsid w:val="006B6D5A"/>
    <w:rsid w:val="006B71F5"/>
    <w:rsid w:val="006C0592"/>
    <w:rsid w:val="006C06FD"/>
    <w:rsid w:val="006C0700"/>
    <w:rsid w:val="006C090F"/>
    <w:rsid w:val="006C1073"/>
    <w:rsid w:val="006C24D6"/>
    <w:rsid w:val="006C272E"/>
    <w:rsid w:val="006C4438"/>
    <w:rsid w:val="006C5479"/>
    <w:rsid w:val="006C5537"/>
    <w:rsid w:val="006C591F"/>
    <w:rsid w:val="006C5A8C"/>
    <w:rsid w:val="006C610E"/>
    <w:rsid w:val="006C6D73"/>
    <w:rsid w:val="006C6E47"/>
    <w:rsid w:val="006D13B5"/>
    <w:rsid w:val="006D162D"/>
    <w:rsid w:val="006D174D"/>
    <w:rsid w:val="006D1AA0"/>
    <w:rsid w:val="006D2138"/>
    <w:rsid w:val="006D213D"/>
    <w:rsid w:val="006D2A28"/>
    <w:rsid w:val="006D33FA"/>
    <w:rsid w:val="006D3520"/>
    <w:rsid w:val="006D4A94"/>
    <w:rsid w:val="006D5B21"/>
    <w:rsid w:val="006D5BAC"/>
    <w:rsid w:val="006D6222"/>
    <w:rsid w:val="006D6FB2"/>
    <w:rsid w:val="006D74FA"/>
    <w:rsid w:val="006D77A5"/>
    <w:rsid w:val="006E0A0E"/>
    <w:rsid w:val="006E0EE5"/>
    <w:rsid w:val="006E12FF"/>
    <w:rsid w:val="006E13C1"/>
    <w:rsid w:val="006E143F"/>
    <w:rsid w:val="006E1ABC"/>
    <w:rsid w:val="006E216A"/>
    <w:rsid w:val="006E2448"/>
    <w:rsid w:val="006E3292"/>
    <w:rsid w:val="006E3755"/>
    <w:rsid w:val="006E3F16"/>
    <w:rsid w:val="006E4697"/>
    <w:rsid w:val="006E4B41"/>
    <w:rsid w:val="006E4D9B"/>
    <w:rsid w:val="006E52F9"/>
    <w:rsid w:val="006E5949"/>
    <w:rsid w:val="006E607E"/>
    <w:rsid w:val="006E6214"/>
    <w:rsid w:val="006E63ED"/>
    <w:rsid w:val="006E6E24"/>
    <w:rsid w:val="006E6F6B"/>
    <w:rsid w:val="006E7380"/>
    <w:rsid w:val="006E7631"/>
    <w:rsid w:val="006E7B8A"/>
    <w:rsid w:val="006F01C8"/>
    <w:rsid w:val="006F02D9"/>
    <w:rsid w:val="006F0FE1"/>
    <w:rsid w:val="006F1266"/>
    <w:rsid w:val="006F12B2"/>
    <w:rsid w:val="006F1312"/>
    <w:rsid w:val="006F1328"/>
    <w:rsid w:val="006F1689"/>
    <w:rsid w:val="006F1A60"/>
    <w:rsid w:val="006F1BBD"/>
    <w:rsid w:val="006F2044"/>
    <w:rsid w:val="006F2978"/>
    <w:rsid w:val="006F2BBE"/>
    <w:rsid w:val="006F2C50"/>
    <w:rsid w:val="006F2DC5"/>
    <w:rsid w:val="006F406D"/>
    <w:rsid w:val="006F415E"/>
    <w:rsid w:val="006F43E3"/>
    <w:rsid w:val="006F4630"/>
    <w:rsid w:val="006F509F"/>
    <w:rsid w:val="006F5749"/>
    <w:rsid w:val="006F682C"/>
    <w:rsid w:val="006F70CE"/>
    <w:rsid w:val="006F75FE"/>
    <w:rsid w:val="0070045C"/>
    <w:rsid w:val="00700ED9"/>
    <w:rsid w:val="00701364"/>
    <w:rsid w:val="007014E0"/>
    <w:rsid w:val="0070156E"/>
    <w:rsid w:val="00701A4F"/>
    <w:rsid w:val="00703EDA"/>
    <w:rsid w:val="007058C4"/>
    <w:rsid w:val="00705C42"/>
    <w:rsid w:val="00705F4C"/>
    <w:rsid w:val="007065E7"/>
    <w:rsid w:val="007068DA"/>
    <w:rsid w:val="00706C5D"/>
    <w:rsid w:val="007071EF"/>
    <w:rsid w:val="007072C6"/>
    <w:rsid w:val="00707C06"/>
    <w:rsid w:val="00707D90"/>
    <w:rsid w:val="00707F7B"/>
    <w:rsid w:val="0071027D"/>
    <w:rsid w:val="00710E23"/>
    <w:rsid w:val="00711778"/>
    <w:rsid w:val="00711B65"/>
    <w:rsid w:val="00711C33"/>
    <w:rsid w:val="00712799"/>
    <w:rsid w:val="007127B9"/>
    <w:rsid w:val="00712AFB"/>
    <w:rsid w:val="00712E66"/>
    <w:rsid w:val="007135E5"/>
    <w:rsid w:val="0071529D"/>
    <w:rsid w:val="00716B52"/>
    <w:rsid w:val="00716DAE"/>
    <w:rsid w:val="00717500"/>
    <w:rsid w:val="0071785C"/>
    <w:rsid w:val="00717C94"/>
    <w:rsid w:val="0072000F"/>
    <w:rsid w:val="00720273"/>
    <w:rsid w:val="00720984"/>
    <w:rsid w:val="007211D8"/>
    <w:rsid w:val="007214A8"/>
    <w:rsid w:val="007218D0"/>
    <w:rsid w:val="00721928"/>
    <w:rsid w:val="007223C4"/>
    <w:rsid w:val="007225A6"/>
    <w:rsid w:val="007228A8"/>
    <w:rsid w:val="0072295B"/>
    <w:rsid w:val="00722ACE"/>
    <w:rsid w:val="00722DBA"/>
    <w:rsid w:val="00723134"/>
    <w:rsid w:val="00723723"/>
    <w:rsid w:val="00723D0F"/>
    <w:rsid w:val="00723DA6"/>
    <w:rsid w:val="00723DAA"/>
    <w:rsid w:val="00724097"/>
    <w:rsid w:val="0072418B"/>
    <w:rsid w:val="007242AF"/>
    <w:rsid w:val="007258FF"/>
    <w:rsid w:val="0072635E"/>
    <w:rsid w:val="007265AF"/>
    <w:rsid w:val="007269D1"/>
    <w:rsid w:val="00726CE6"/>
    <w:rsid w:val="00727A38"/>
    <w:rsid w:val="00730F1A"/>
    <w:rsid w:val="00731315"/>
    <w:rsid w:val="00732922"/>
    <w:rsid w:val="00732998"/>
    <w:rsid w:val="00733362"/>
    <w:rsid w:val="0073396B"/>
    <w:rsid w:val="00733B72"/>
    <w:rsid w:val="00733C7F"/>
    <w:rsid w:val="00733E49"/>
    <w:rsid w:val="00733FF3"/>
    <w:rsid w:val="007343AF"/>
    <w:rsid w:val="00734B5E"/>
    <w:rsid w:val="00734E7B"/>
    <w:rsid w:val="0073575B"/>
    <w:rsid w:val="00735D76"/>
    <w:rsid w:val="00735DB8"/>
    <w:rsid w:val="0073614B"/>
    <w:rsid w:val="00736608"/>
    <w:rsid w:val="007367C3"/>
    <w:rsid w:val="00736EA1"/>
    <w:rsid w:val="007370EB"/>
    <w:rsid w:val="007372D6"/>
    <w:rsid w:val="0073735E"/>
    <w:rsid w:val="007377BC"/>
    <w:rsid w:val="00737DA2"/>
    <w:rsid w:val="00740674"/>
    <w:rsid w:val="007410D8"/>
    <w:rsid w:val="0074114D"/>
    <w:rsid w:val="007411C5"/>
    <w:rsid w:val="00741206"/>
    <w:rsid w:val="00741610"/>
    <w:rsid w:val="007423EC"/>
    <w:rsid w:val="007427B5"/>
    <w:rsid w:val="007427BF"/>
    <w:rsid w:val="00742A58"/>
    <w:rsid w:val="0074313E"/>
    <w:rsid w:val="007436E6"/>
    <w:rsid w:val="0074398D"/>
    <w:rsid w:val="00743C9B"/>
    <w:rsid w:val="00744754"/>
    <w:rsid w:val="007451BB"/>
    <w:rsid w:val="007459A5"/>
    <w:rsid w:val="00745C60"/>
    <w:rsid w:val="00745C94"/>
    <w:rsid w:val="00745DAF"/>
    <w:rsid w:val="00746849"/>
    <w:rsid w:val="007469D7"/>
    <w:rsid w:val="00746FFC"/>
    <w:rsid w:val="00747590"/>
    <w:rsid w:val="007476F3"/>
    <w:rsid w:val="007477F9"/>
    <w:rsid w:val="00750ED8"/>
    <w:rsid w:val="0075143B"/>
    <w:rsid w:val="0075162E"/>
    <w:rsid w:val="0075183E"/>
    <w:rsid w:val="0075232D"/>
    <w:rsid w:val="007525CD"/>
    <w:rsid w:val="007527AD"/>
    <w:rsid w:val="00752D8A"/>
    <w:rsid w:val="00752DFC"/>
    <w:rsid w:val="0075348C"/>
    <w:rsid w:val="00753868"/>
    <w:rsid w:val="00753C7E"/>
    <w:rsid w:val="00754034"/>
    <w:rsid w:val="00754C8F"/>
    <w:rsid w:val="00754E13"/>
    <w:rsid w:val="007559E3"/>
    <w:rsid w:val="00755B13"/>
    <w:rsid w:val="007563BD"/>
    <w:rsid w:val="007564A6"/>
    <w:rsid w:val="00756556"/>
    <w:rsid w:val="007572A4"/>
    <w:rsid w:val="0075741A"/>
    <w:rsid w:val="00757817"/>
    <w:rsid w:val="00757A5E"/>
    <w:rsid w:val="00757C53"/>
    <w:rsid w:val="0076070B"/>
    <w:rsid w:val="00760E54"/>
    <w:rsid w:val="00760EAE"/>
    <w:rsid w:val="00760F88"/>
    <w:rsid w:val="007618A7"/>
    <w:rsid w:val="007618C4"/>
    <w:rsid w:val="00761A72"/>
    <w:rsid w:val="00761EAE"/>
    <w:rsid w:val="007622BB"/>
    <w:rsid w:val="0076274F"/>
    <w:rsid w:val="00762787"/>
    <w:rsid w:val="007630BD"/>
    <w:rsid w:val="0076396B"/>
    <w:rsid w:val="00763F37"/>
    <w:rsid w:val="00764539"/>
    <w:rsid w:val="00764F93"/>
    <w:rsid w:val="007653E9"/>
    <w:rsid w:val="0076650B"/>
    <w:rsid w:val="00766A18"/>
    <w:rsid w:val="00766D1D"/>
    <w:rsid w:val="00766EB5"/>
    <w:rsid w:val="00767980"/>
    <w:rsid w:val="00767D84"/>
    <w:rsid w:val="00770892"/>
    <w:rsid w:val="00770B19"/>
    <w:rsid w:val="00770D2D"/>
    <w:rsid w:val="00770D31"/>
    <w:rsid w:val="00770EB3"/>
    <w:rsid w:val="00770FB7"/>
    <w:rsid w:val="007718A6"/>
    <w:rsid w:val="0077195D"/>
    <w:rsid w:val="0077212D"/>
    <w:rsid w:val="00772429"/>
    <w:rsid w:val="0077297B"/>
    <w:rsid w:val="007729EB"/>
    <w:rsid w:val="00772F82"/>
    <w:rsid w:val="007733A7"/>
    <w:rsid w:val="007734EE"/>
    <w:rsid w:val="00773C88"/>
    <w:rsid w:val="00773EB2"/>
    <w:rsid w:val="00774603"/>
    <w:rsid w:val="0077463F"/>
    <w:rsid w:val="00774AE1"/>
    <w:rsid w:val="00774B0B"/>
    <w:rsid w:val="00775058"/>
    <w:rsid w:val="0077569D"/>
    <w:rsid w:val="00775DA6"/>
    <w:rsid w:val="00775EEC"/>
    <w:rsid w:val="0077624B"/>
    <w:rsid w:val="00776653"/>
    <w:rsid w:val="00777442"/>
    <w:rsid w:val="00777697"/>
    <w:rsid w:val="0077772B"/>
    <w:rsid w:val="0077794D"/>
    <w:rsid w:val="00777AF5"/>
    <w:rsid w:val="00777B92"/>
    <w:rsid w:val="00780958"/>
    <w:rsid w:val="00780F40"/>
    <w:rsid w:val="00781405"/>
    <w:rsid w:val="00781AFB"/>
    <w:rsid w:val="00783203"/>
    <w:rsid w:val="007836EA"/>
    <w:rsid w:val="00783AC9"/>
    <w:rsid w:val="00784CDA"/>
    <w:rsid w:val="007854C8"/>
    <w:rsid w:val="00785AD2"/>
    <w:rsid w:val="00785CAF"/>
    <w:rsid w:val="007861A6"/>
    <w:rsid w:val="007862ED"/>
    <w:rsid w:val="00786360"/>
    <w:rsid w:val="007869D5"/>
    <w:rsid w:val="00786ADA"/>
    <w:rsid w:val="00786F09"/>
    <w:rsid w:val="0078742C"/>
    <w:rsid w:val="0078774C"/>
    <w:rsid w:val="00787FC6"/>
    <w:rsid w:val="007906C4"/>
    <w:rsid w:val="00790B19"/>
    <w:rsid w:val="00790D06"/>
    <w:rsid w:val="00791988"/>
    <w:rsid w:val="00791E1F"/>
    <w:rsid w:val="007920CE"/>
    <w:rsid w:val="00792609"/>
    <w:rsid w:val="007928DB"/>
    <w:rsid w:val="0079298A"/>
    <w:rsid w:val="00792D65"/>
    <w:rsid w:val="00793F0F"/>
    <w:rsid w:val="007940EA"/>
    <w:rsid w:val="0079430B"/>
    <w:rsid w:val="00794C0D"/>
    <w:rsid w:val="00795733"/>
    <w:rsid w:val="0079597C"/>
    <w:rsid w:val="007959A6"/>
    <w:rsid w:val="00795E80"/>
    <w:rsid w:val="007960D9"/>
    <w:rsid w:val="00796178"/>
    <w:rsid w:val="0079657F"/>
    <w:rsid w:val="007967E8"/>
    <w:rsid w:val="00797559"/>
    <w:rsid w:val="00797848"/>
    <w:rsid w:val="007A09EC"/>
    <w:rsid w:val="007A0D15"/>
    <w:rsid w:val="007A19BF"/>
    <w:rsid w:val="007A1BBB"/>
    <w:rsid w:val="007A2170"/>
    <w:rsid w:val="007A22BF"/>
    <w:rsid w:val="007A22FA"/>
    <w:rsid w:val="007A2600"/>
    <w:rsid w:val="007A28FE"/>
    <w:rsid w:val="007A2A24"/>
    <w:rsid w:val="007A2A2F"/>
    <w:rsid w:val="007A31A2"/>
    <w:rsid w:val="007A32F0"/>
    <w:rsid w:val="007A3323"/>
    <w:rsid w:val="007A37A6"/>
    <w:rsid w:val="007A38DA"/>
    <w:rsid w:val="007A39B9"/>
    <w:rsid w:val="007A4592"/>
    <w:rsid w:val="007A45F8"/>
    <w:rsid w:val="007A46BA"/>
    <w:rsid w:val="007A49CE"/>
    <w:rsid w:val="007A4B20"/>
    <w:rsid w:val="007A532E"/>
    <w:rsid w:val="007A57CB"/>
    <w:rsid w:val="007A5B8A"/>
    <w:rsid w:val="007A624E"/>
    <w:rsid w:val="007A6C3B"/>
    <w:rsid w:val="007A6D46"/>
    <w:rsid w:val="007A7704"/>
    <w:rsid w:val="007A7793"/>
    <w:rsid w:val="007A7B56"/>
    <w:rsid w:val="007A7E75"/>
    <w:rsid w:val="007B01E5"/>
    <w:rsid w:val="007B06D6"/>
    <w:rsid w:val="007B073A"/>
    <w:rsid w:val="007B09E6"/>
    <w:rsid w:val="007B1094"/>
    <w:rsid w:val="007B127A"/>
    <w:rsid w:val="007B16AD"/>
    <w:rsid w:val="007B217E"/>
    <w:rsid w:val="007B22D4"/>
    <w:rsid w:val="007B3ACE"/>
    <w:rsid w:val="007B3D61"/>
    <w:rsid w:val="007B3F10"/>
    <w:rsid w:val="007B4332"/>
    <w:rsid w:val="007B4CB1"/>
    <w:rsid w:val="007B4D45"/>
    <w:rsid w:val="007B53B5"/>
    <w:rsid w:val="007B6022"/>
    <w:rsid w:val="007B662E"/>
    <w:rsid w:val="007B67A6"/>
    <w:rsid w:val="007B683A"/>
    <w:rsid w:val="007B6B15"/>
    <w:rsid w:val="007B72B8"/>
    <w:rsid w:val="007B7A58"/>
    <w:rsid w:val="007C0A11"/>
    <w:rsid w:val="007C0B23"/>
    <w:rsid w:val="007C0C27"/>
    <w:rsid w:val="007C0E86"/>
    <w:rsid w:val="007C1771"/>
    <w:rsid w:val="007C21B5"/>
    <w:rsid w:val="007C22A7"/>
    <w:rsid w:val="007C2DA6"/>
    <w:rsid w:val="007C3431"/>
    <w:rsid w:val="007C3D41"/>
    <w:rsid w:val="007C47E9"/>
    <w:rsid w:val="007C53BA"/>
    <w:rsid w:val="007C5AB5"/>
    <w:rsid w:val="007C5CEE"/>
    <w:rsid w:val="007C6264"/>
    <w:rsid w:val="007C6D00"/>
    <w:rsid w:val="007C6ECA"/>
    <w:rsid w:val="007C7B16"/>
    <w:rsid w:val="007C7EED"/>
    <w:rsid w:val="007D0DC4"/>
    <w:rsid w:val="007D2E6B"/>
    <w:rsid w:val="007D2F4C"/>
    <w:rsid w:val="007D34E3"/>
    <w:rsid w:val="007D36BB"/>
    <w:rsid w:val="007D40F5"/>
    <w:rsid w:val="007D431A"/>
    <w:rsid w:val="007D4A97"/>
    <w:rsid w:val="007D50E7"/>
    <w:rsid w:val="007D55F3"/>
    <w:rsid w:val="007D5A7E"/>
    <w:rsid w:val="007D6C25"/>
    <w:rsid w:val="007D6CAF"/>
    <w:rsid w:val="007D7603"/>
    <w:rsid w:val="007D7876"/>
    <w:rsid w:val="007D78A7"/>
    <w:rsid w:val="007D7BAF"/>
    <w:rsid w:val="007E0C4B"/>
    <w:rsid w:val="007E0CA5"/>
    <w:rsid w:val="007E1CBC"/>
    <w:rsid w:val="007E2590"/>
    <w:rsid w:val="007E3737"/>
    <w:rsid w:val="007E3920"/>
    <w:rsid w:val="007E3EE8"/>
    <w:rsid w:val="007E4256"/>
    <w:rsid w:val="007E4626"/>
    <w:rsid w:val="007E4749"/>
    <w:rsid w:val="007E4BD2"/>
    <w:rsid w:val="007E5269"/>
    <w:rsid w:val="007E52AC"/>
    <w:rsid w:val="007E588B"/>
    <w:rsid w:val="007E5AD7"/>
    <w:rsid w:val="007E5DD3"/>
    <w:rsid w:val="007E6641"/>
    <w:rsid w:val="007E6A6F"/>
    <w:rsid w:val="007E6BBF"/>
    <w:rsid w:val="007E76DA"/>
    <w:rsid w:val="007E7801"/>
    <w:rsid w:val="007E79D4"/>
    <w:rsid w:val="007E7BE5"/>
    <w:rsid w:val="007E7C62"/>
    <w:rsid w:val="007E7E27"/>
    <w:rsid w:val="007F02DC"/>
    <w:rsid w:val="007F02E0"/>
    <w:rsid w:val="007F0405"/>
    <w:rsid w:val="007F1333"/>
    <w:rsid w:val="007F13FF"/>
    <w:rsid w:val="007F173D"/>
    <w:rsid w:val="007F18BD"/>
    <w:rsid w:val="007F228B"/>
    <w:rsid w:val="007F24CA"/>
    <w:rsid w:val="007F374D"/>
    <w:rsid w:val="007F386E"/>
    <w:rsid w:val="007F3F34"/>
    <w:rsid w:val="007F4E19"/>
    <w:rsid w:val="007F5676"/>
    <w:rsid w:val="007F5AC3"/>
    <w:rsid w:val="007F5ED1"/>
    <w:rsid w:val="007F61D8"/>
    <w:rsid w:val="007F675F"/>
    <w:rsid w:val="007F6B69"/>
    <w:rsid w:val="007F743C"/>
    <w:rsid w:val="007F753A"/>
    <w:rsid w:val="007F77EA"/>
    <w:rsid w:val="007F7A71"/>
    <w:rsid w:val="007F7B57"/>
    <w:rsid w:val="007F7CCA"/>
    <w:rsid w:val="008003FC"/>
    <w:rsid w:val="00800459"/>
    <w:rsid w:val="00800DBC"/>
    <w:rsid w:val="00800FE1"/>
    <w:rsid w:val="00801064"/>
    <w:rsid w:val="0080110C"/>
    <w:rsid w:val="00801393"/>
    <w:rsid w:val="0080247C"/>
    <w:rsid w:val="008024B6"/>
    <w:rsid w:val="00802F88"/>
    <w:rsid w:val="008030F3"/>
    <w:rsid w:val="008037C0"/>
    <w:rsid w:val="00803C42"/>
    <w:rsid w:val="00804272"/>
    <w:rsid w:val="0080430C"/>
    <w:rsid w:val="008046CC"/>
    <w:rsid w:val="00804D4A"/>
    <w:rsid w:val="00804EEE"/>
    <w:rsid w:val="00805569"/>
    <w:rsid w:val="00805682"/>
    <w:rsid w:val="0080639E"/>
    <w:rsid w:val="00806B35"/>
    <w:rsid w:val="008073D9"/>
    <w:rsid w:val="008073E2"/>
    <w:rsid w:val="00811B90"/>
    <w:rsid w:val="0081233F"/>
    <w:rsid w:val="0081293E"/>
    <w:rsid w:val="00814AB9"/>
    <w:rsid w:val="00815465"/>
    <w:rsid w:val="00815D49"/>
    <w:rsid w:val="00816555"/>
    <w:rsid w:val="00816613"/>
    <w:rsid w:val="00816EF5"/>
    <w:rsid w:val="00816F01"/>
    <w:rsid w:val="00817178"/>
    <w:rsid w:val="008178ED"/>
    <w:rsid w:val="00817D79"/>
    <w:rsid w:val="00817E9A"/>
    <w:rsid w:val="00817ECE"/>
    <w:rsid w:val="008203A5"/>
    <w:rsid w:val="008204E4"/>
    <w:rsid w:val="00820747"/>
    <w:rsid w:val="00820811"/>
    <w:rsid w:val="0082081B"/>
    <w:rsid w:val="00820C07"/>
    <w:rsid w:val="00820D4D"/>
    <w:rsid w:val="00821145"/>
    <w:rsid w:val="00821291"/>
    <w:rsid w:val="00821BB1"/>
    <w:rsid w:val="0082224F"/>
    <w:rsid w:val="008222E9"/>
    <w:rsid w:val="00822AD2"/>
    <w:rsid w:val="00822C7F"/>
    <w:rsid w:val="008233B1"/>
    <w:rsid w:val="008234E9"/>
    <w:rsid w:val="008235F4"/>
    <w:rsid w:val="0082366C"/>
    <w:rsid w:val="00823AD5"/>
    <w:rsid w:val="00823E43"/>
    <w:rsid w:val="00824305"/>
    <w:rsid w:val="0082682E"/>
    <w:rsid w:val="00826C0B"/>
    <w:rsid w:val="00826CAB"/>
    <w:rsid w:val="00826DCA"/>
    <w:rsid w:val="00826E64"/>
    <w:rsid w:val="00826FD3"/>
    <w:rsid w:val="0082747D"/>
    <w:rsid w:val="00827B6C"/>
    <w:rsid w:val="00827CEB"/>
    <w:rsid w:val="008306BD"/>
    <w:rsid w:val="00830AB4"/>
    <w:rsid w:val="0083170A"/>
    <w:rsid w:val="008317AF"/>
    <w:rsid w:val="00831A80"/>
    <w:rsid w:val="0083279C"/>
    <w:rsid w:val="00832809"/>
    <w:rsid w:val="0083295F"/>
    <w:rsid w:val="0083300C"/>
    <w:rsid w:val="00833192"/>
    <w:rsid w:val="00833743"/>
    <w:rsid w:val="00833F28"/>
    <w:rsid w:val="00833FBE"/>
    <w:rsid w:val="0083406D"/>
    <w:rsid w:val="008340A4"/>
    <w:rsid w:val="0083414D"/>
    <w:rsid w:val="00834F7E"/>
    <w:rsid w:val="00835A80"/>
    <w:rsid w:val="00835D50"/>
    <w:rsid w:val="00836684"/>
    <w:rsid w:val="00837143"/>
    <w:rsid w:val="00840C5B"/>
    <w:rsid w:val="00841A2A"/>
    <w:rsid w:val="00841D80"/>
    <w:rsid w:val="00842888"/>
    <w:rsid w:val="00844807"/>
    <w:rsid w:val="008448D7"/>
    <w:rsid w:val="00844AB3"/>
    <w:rsid w:val="00844C1A"/>
    <w:rsid w:val="00845038"/>
    <w:rsid w:val="00845912"/>
    <w:rsid w:val="00845A4B"/>
    <w:rsid w:val="008462B1"/>
    <w:rsid w:val="008464A4"/>
    <w:rsid w:val="008464AF"/>
    <w:rsid w:val="008464DD"/>
    <w:rsid w:val="00847175"/>
    <w:rsid w:val="0085023D"/>
    <w:rsid w:val="008503E5"/>
    <w:rsid w:val="00850460"/>
    <w:rsid w:val="008510B9"/>
    <w:rsid w:val="00851C62"/>
    <w:rsid w:val="008525A1"/>
    <w:rsid w:val="00854665"/>
    <w:rsid w:val="00854F07"/>
    <w:rsid w:val="00855067"/>
    <w:rsid w:val="008558B6"/>
    <w:rsid w:val="008558BF"/>
    <w:rsid w:val="00855CF5"/>
    <w:rsid w:val="00855CFF"/>
    <w:rsid w:val="00855E0D"/>
    <w:rsid w:val="00856158"/>
    <w:rsid w:val="00856815"/>
    <w:rsid w:val="008569EF"/>
    <w:rsid w:val="008579CB"/>
    <w:rsid w:val="00860252"/>
    <w:rsid w:val="00860B60"/>
    <w:rsid w:val="008611D6"/>
    <w:rsid w:val="008616E7"/>
    <w:rsid w:val="00861D2A"/>
    <w:rsid w:val="00862AA5"/>
    <w:rsid w:val="00862CC3"/>
    <w:rsid w:val="00863143"/>
    <w:rsid w:val="00863458"/>
    <w:rsid w:val="00863733"/>
    <w:rsid w:val="00863988"/>
    <w:rsid w:val="008644AA"/>
    <w:rsid w:val="00865350"/>
    <w:rsid w:val="0086597A"/>
    <w:rsid w:val="00865B4E"/>
    <w:rsid w:val="00865DBB"/>
    <w:rsid w:val="0086645B"/>
    <w:rsid w:val="00866A47"/>
    <w:rsid w:val="00866EE2"/>
    <w:rsid w:val="00866FCC"/>
    <w:rsid w:val="0086722B"/>
    <w:rsid w:val="00867A87"/>
    <w:rsid w:val="00867A9B"/>
    <w:rsid w:val="00871161"/>
    <w:rsid w:val="0087135F"/>
    <w:rsid w:val="0087144B"/>
    <w:rsid w:val="008719E0"/>
    <w:rsid w:val="008719ED"/>
    <w:rsid w:val="00872ACA"/>
    <w:rsid w:val="00872D94"/>
    <w:rsid w:val="00872E52"/>
    <w:rsid w:val="00873D43"/>
    <w:rsid w:val="0087458B"/>
    <w:rsid w:val="008748D2"/>
    <w:rsid w:val="00874A2A"/>
    <w:rsid w:val="00875104"/>
    <w:rsid w:val="008751DC"/>
    <w:rsid w:val="00875C7A"/>
    <w:rsid w:val="00876108"/>
    <w:rsid w:val="008761CE"/>
    <w:rsid w:val="0087793F"/>
    <w:rsid w:val="0088012C"/>
    <w:rsid w:val="00880134"/>
    <w:rsid w:val="008802FE"/>
    <w:rsid w:val="00880364"/>
    <w:rsid w:val="00880886"/>
    <w:rsid w:val="00881DE8"/>
    <w:rsid w:val="00882298"/>
    <w:rsid w:val="0088258B"/>
    <w:rsid w:val="00882BB2"/>
    <w:rsid w:val="00883C5C"/>
    <w:rsid w:val="00884E1B"/>
    <w:rsid w:val="00885224"/>
    <w:rsid w:val="00885564"/>
    <w:rsid w:val="00885D77"/>
    <w:rsid w:val="00886666"/>
    <w:rsid w:val="008873FB"/>
    <w:rsid w:val="00887635"/>
    <w:rsid w:val="00887802"/>
    <w:rsid w:val="008879B8"/>
    <w:rsid w:val="00887C8A"/>
    <w:rsid w:val="00887D34"/>
    <w:rsid w:val="00890454"/>
    <w:rsid w:val="0089078F"/>
    <w:rsid w:val="00890F8E"/>
    <w:rsid w:val="00890FEA"/>
    <w:rsid w:val="00891592"/>
    <w:rsid w:val="008919F8"/>
    <w:rsid w:val="00891C5E"/>
    <w:rsid w:val="00891E9E"/>
    <w:rsid w:val="008922D8"/>
    <w:rsid w:val="008928AF"/>
    <w:rsid w:val="00892C94"/>
    <w:rsid w:val="00892FA8"/>
    <w:rsid w:val="00893ED7"/>
    <w:rsid w:val="00894085"/>
    <w:rsid w:val="008941C3"/>
    <w:rsid w:val="008941CF"/>
    <w:rsid w:val="0089435D"/>
    <w:rsid w:val="008943E0"/>
    <w:rsid w:val="0089472F"/>
    <w:rsid w:val="00894794"/>
    <w:rsid w:val="00895053"/>
    <w:rsid w:val="0089515C"/>
    <w:rsid w:val="00895717"/>
    <w:rsid w:val="00895CD8"/>
    <w:rsid w:val="0089627B"/>
    <w:rsid w:val="00896AB0"/>
    <w:rsid w:val="00896D8B"/>
    <w:rsid w:val="00897079"/>
    <w:rsid w:val="0089736E"/>
    <w:rsid w:val="00897CBA"/>
    <w:rsid w:val="008A0439"/>
    <w:rsid w:val="008A0EED"/>
    <w:rsid w:val="008A202E"/>
    <w:rsid w:val="008A26F9"/>
    <w:rsid w:val="008A2F68"/>
    <w:rsid w:val="008A3289"/>
    <w:rsid w:val="008A3427"/>
    <w:rsid w:val="008A5A28"/>
    <w:rsid w:val="008A5DC8"/>
    <w:rsid w:val="008A64A2"/>
    <w:rsid w:val="008A6C03"/>
    <w:rsid w:val="008A7579"/>
    <w:rsid w:val="008B013E"/>
    <w:rsid w:val="008B02DA"/>
    <w:rsid w:val="008B0996"/>
    <w:rsid w:val="008B0BEE"/>
    <w:rsid w:val="008B0C5E"/>
    <w:rsid w:val="008B0F97"/>
    <w:rsid w:val="008B1669"/>
    <w:rsid w:val="008B1988"/>
    <w:rsid w:val="008B1A78"/>
    <w:rsid w:val="008B1E37"/>
    <w:rsid w:val="008B227B"/>
    <w:rsid w:val="008B2B5D"/>
    <w:rsid w:val="008B36E5"/>
    <w:rsid w:val="008B387A"/>
    <w:rsid w:val="008B3F31"/>
    <w:rsid w:val="008B4DCF"/>
    <w:rsid w:val="008B4FA6"/>
    <w:rsid w:val="008B5282"/>
    <w:rsid w:val="008B5708"/>
    <w:rsid w:val="008B5815"/>
    <w:rsid w:val="008B611A"/>
    <w:rsid w:val="008B6362"/>
    <w:rsid w:val="008B6BB7"/>
    <w:rsid w:val="008B6D6C"/>
    <w:rsid w:val="008B7419"/>
    <w:rsid w:val="008B756D"/>
    <w:rsid w:val="008B7C17"/>
    <w:rsid w:val="008C03A2"/>
    <w:rsid w:val="008C0597"/>
    <w:rsid w:val="008C09F4"/>
    <w:rsid w:val="008C0CD2"/>
    <w:rsid w:val="008C1487"/>
    <w:rsid w:val="008C1603"/>
    <w:rsid w:val="008C195A"/>
    <w:rsid w:val="008C21A2"/>
    <w:rsid w:val="008C2217"/>
    <w:rsid w:val="008C2298"/>
    <w:rsid w:val="008C26B6"/>
    <w:rsid w:val="008C2D01"/>
    <w:rsid w:val="008C3673"/>
    <w:rsid w:val="008C39F9"/>
    <w:rsid w:val="008C3C84"/>
    <w:rsid w:val="008C4065"/>
    <w:rsid w:val="008C40E6"/>
    <w:rsid w:val="008C4130"/>
    <w:rsid w:val="008C55A8"/>
    <w:rsid w:val="008C5ACF"/>
    <w:rsid w:val="008C62E2"/>
    <w:rsid w:val="008C64BC"/>
    <w:rsid w:val="008C6863"/>
    <w:rsid w:val="008C6E2D"/>
    <w:rsid w:val="008C770B"/>
    <w:rsid w:val="008C7FD1"/>
    <w:rsid w:val="008D0182"/>
    <w:rsid w:val="008D04AB"/>
    <w:rsid w:val="008D05F3"/>
    <w:rsid w:val="008D0794"/>
    <w:rsid w:val="008D09CA"/>
    <w:rsid w:val="008D0F7A"/>
    <w:rsid w:val="008D1F01"/>
    <w:rsid w:val="008D2651"/>
    <w:rsid w:val="008D2A2E"/>
    <w:rsid w:val="008D2B1E"/>
    <w:rsid w:val="008D2DDC"/>
    <w:rsid w:val="008D38C3"/>
    <w:rsid w:val="008D449C"/>
    <w:rsid w:val="008D4DB7"/>
    <w:rsid w:val="008D5202"/>
    <w:rsid w:val="008D5422"/>
    <w:rsid w:val="008D55F3"/>
    <w:rsid w:val="008D57D7"/>
    <w:rsid w:val="008D68E4"/>
    <w:rsid w:val="008D6B35"/>
    <w:rsid w:val="008D6D1C"/>
    <w:rsid w:val="008D729C"/>
    <w:rsid w:val="008D764A"/>
    <w:rsid w:val="008D7DA8"/>
    <w:rsid w:val="008E0506"/>
    <w:rsid w:val="008E0907"/>
    <w:rsid w:val="008E0CFF"/>
    <w:rsid w:val="008E0FA5"/>
    <w:rsid w:val="008E1797"/>
    <w:rsid w:val="008E17CC"/>
    <w:rsid w:val="008E193A"/>
    <w:rsid w:val="008E1DFC"/>
    <w:rsid w:val="008E2089"/>
    <w:rsid w:val="008E2455"/>
    <w:rsid w:val="008E27EB"/>
    <w:rsid w:val="008E2846"/>
    <w:rsid w:val="008E2D0F"/>
    <w:rsid w:val="008E3238"/>
    <w:rsid w:val="008E4188"/>
    <w:rsid w:val="008E44F5"/>
    <w:rsid w:val="008E4BB4"/>
    <w:rsid w:val="008E4CEF"/>
    <w:rsid w:val="008E4D37"/>
    <w:rsid w:val="008E5D6B"/>
    <w:rsid w:val="008E661B"/>
    <w:rsid w:val="008E6DD2"/>
    <w:rsid w:val="008E76F0"/>
    <w:rsid w:val="008E7871"/>
    <w:rsid w:val="008E7A9E"/>
    <w:rsid w:val="008F099E"/>
    <w:rsid w:val="008F15FE"/>
    <w:rsid w:val="008F1911"/>
    <w:rsid w:val="008F2076"/>
    <w:rsid w:val="008F2108"/>
    <w:rsid w:val="008F29BB"/>
    <w:rsid w:val="008F2D29"/>
    <w:rsid w:val="008F3114"/>
    <w:rsid w:val="008F328E"/>
    <w:rsid w:val="008F36A8"/>
    <w:rsid w:val="008F3B44"/>
    <w:rsid w:val="008F3D14"/>
    <w:rsid w:val="008F409C"/>
    <w:rsid w:val="008F4371"/>
    <w:rsid w:val="008F4A1E"/>
    <w:rsid w:val="008F5080"/>
    <w:rsid w:val="008F5187"/>
    <w:rsid w:val="008F60D8"/>
    <w:rsid w:val="008F6351"/>
    <w:rsid w:val="008F6842"/>
    <w:rsid w:val="008F6B3D"/>
    <w:rsid w:val="008F6B7B"/>
    <w:rsid w:val="008F6D64"/>
    <w:rsid w:val="008F6D74"/>
    <w:rsid w:val="008F70C4"/>
    <w:rsid w:val="008F776C"/>
    <w:rsid w:val="008F7B69"/>
    <w:rsid w:val="00900A81"/>
    <w:rsid w:val="00900C06"/>
    <w:rsid w:val="00901212"/>
    <w:rsid w:val="0090188C"/>
    <w:rsid w:val="009019B3"/>
    <w:rsid w:val="00901AD4"/>
    <w:rsid w:val="009020A9"/>
    <w:rsid w:val="00902727"/>
    <w:rsid w:val="0090312B"/>
    <w:rsid w:val="009036C4"/>
    <w:rsid w:val="00903F7D"/>
    <w:rsid w:val="00904016"/>
    <w:rsid w:val="00904682"/>
    <w:rsid w:val="00904DCE"/>
    <w:rsid w:val="009060A3"/>
    <w:rsid w:val="0090635B"/>
    <w:rsid w:val="009064BC"/>
    <w:rsid w:val="00906640"/>
    <w:rsid w:val="00906CD3"/>
    <w:rsid w:val="00906F9A"/>
    <w:rsid w:val="0090745E"/>
    <w:rsid w:val="00910423"/>
    <w:rsid w:val="00910D20"/>
    <w:rsid w:val="0091153F"/>
    <w:rsid w:val="00911639"/>
    <w:rsid w:val="00911695"/>
    <w:rsid w:val="009116D9"/>
    <w:rsid w:val="00911BD3"/>
    <w:rsid w:val="00911F2A"/>
    <w:rsid w:val="00912976"/>
    <w:rsid w:val="00912A93"/>
    <w:rsid w:val="00912B18"/>
    <w:rsid w:val="0091314B"/>
    <w:rsid w:val="00914D97"/>
    <w:rsid w:val="00914FA2"/>
    <w:rsid w:val="00915310"/>
    <w:rsid w:val="00915619"/>
    <w:rsid w:val="009158EC"/>
    <w:rsid w:val="009159BB"/>
    <w:rsid w:val="009166A3"/>
    <w:rsid w:val="00916CE0"/>
    <w:rsid w:val="00916EA6"/>
    <w:rsid w:val="0091736D"/>
    <w:rsid w:val="00917A40"/>
    <w:rsid w:val="00917A80"/>
    <w:rsid w:val="00917D94"/>
    <w:rsid w:val="0092025E"/>
    <w:rsid w:val="009211BB"/>
    <w:rsid w:val="0092122A"/>
    <w:rsid w:val="00921600"/>
    <w:rsid w:val="00921689"/>
    <w:rsid w:val="0092168C"/>
    <w:rsid w:val="00922BA5"/>
    <w:rsid w:val="00922E39"/>
    <w:rsid w:val="00922F22"/>
    <w:rsid w:val="00923326"/>
    <w:rsid w:val="009234F6"/>
    <w:rsid w:val="00923B1D"/>
    <w:rsid w:val="009242DD"/>
    <w:rsid w:val="00924449"/>
    <w:rsid w:val="00924BBA"/>
    <w:rsid w:val="00924D29"/>
    <w:rsid w:val="00925316"/>
    <w:rsid w:val="00925739"/>
    <w:rsid w:val="00925D7E"/>
    <w:rsid w:val="00925DDC"/>
    <w:rsid w:val="009260E0"/>
    <w:rsid w:val="0092614A"/>
    <w:rsid w:val="0092620D"/>
    <w:rsid w:val="00926A69"/>
    <w:rsid w:val="00926A8C"/>
    <w:rsid w:val="00927769"/>
    <w:rsid w:val="00927ABA"/>
    <w:rsid w:val="00927D8A"/>
    <w:rsid w:val="00930074"/>
    <w:rsid w:val="0093037A"/>
    <w:rsid w:val="009303C2"/>
    <w:rsid w:val="00930995"/>
    <w:rsid w:val="00931846"/>
    <w:rsid w:val="009322D1"/>
    <w:rsid w:val="00932833"/>
    <w:rsid w:val="00933A6D"/>
    <w:rsid w:val="00934491"/>
    <w:rsid w:val="009344C3"/>
    <w:rsid w:val="0093471F"/>
    <w:rsid w:val="009351AE"/>
    <w:rsid w:val="009351DC"/>
    <w:rsid w:val="00936088"/>
    <w:rsid w:val="00936BF1"/>
    <w:rsid w:val="00937A80"/>
    <w:rsid w:val="00940F2D"/>
    <w:rsid w:val="0094154D"/>
    <w:rsid w:val="009416A4"/>
    <w:rsid w:val="00941C52"/>
    <w:rsid w:val="00941E52"/>
    <w:rsid w:val="0094217B"/>
    <w:rsid w:val="009422FD"/>
    <w:rsid w:val="00942E66"/>
    <w:rsid w:val="00942FD0"/>
    <w:rsid w:val="009432C6"/>
    <w:rsid w:val="00943BC9"/>
    <w:rsid w:val="00943DF9"/>
    <w:rsid w:val="009444E7"/>
    <w:rsid w:val="00944521"/>
    <w:rsid w:val="00944730"/>
    <w:rsid w:val="00944E0C"/>
    <w:rsid w:val="00945CCE"/>
    <w:rsid w:val="0094600E"/>
    <w:rsid w:val="00946216"/>
    <w:rsid w:val="009468F4"/>
    <w:rsid w:val="009478DE"/>
    <w:rsid w:val="00950463"/>
    <w:rsid w:val="00950CF3"/>
    <w:rsid w:val="00950E76"/>
    <w:rsid w:val="0095155F"/>
    <w:rsid w:val="009515FC"/>
    <w:rsid w:val="0095205D"/>
    <w:rsid w:val="00952B45"/>
    <w:rsid w:val="00952D29"/>
    <w:rsid w:val="00953732"/>
    <w:rsid w:val="00953A2A"/>
    <w:rsid w:val="00953E1C"/>
    <w:rsid w:val="00953ED8"/>
    <w:rsid w:val="00953F8E"/>
    <w:rsid w:val="00954075"/>
    <w:rsid w:val="00954429"/>
    <w:rsid w:val="00954688"/>
    <w:rsid w:val="00954CDD"/>
    <w:rsid w:val="00955FA1"/>
    <w:rsid w:val="00956146"/>
    <w:rsid w:val="009563CE"/>
    <w:rsid w:val="00956404"/>
    <w:rsid w:val="00956655"/>
    <w:rsid w:val="00956902"/>
    <w:rsid w:val="00960B95"/>
    <w:rsid w:val="009619ED"/>
    <w:rsid w:val="00961AD0"/>
    <w:rsid w:val="00962773"/>
    <w:rsid w:val="00962A88"/>
    <w:rsid w:val="00963278"/>
    <w:rsid w:val="0096396E"/>
    <w:rsid w:val="00964AF8"/>
    <w:rsid w:val="00965946"/>
    <w:rsid w:val="009659F0"/>
    <w:rsid w:val="00965B94"/>
    <w:rsid w:val="00965DAF"/>
    <w:rsid w:val="0096612D"/>
    <w:rsid w:val="009662DC"/>
    <w:rsid w:val="0096644D"/>
    <w:rsid w:val="00967B20"/>
    <w:rsid w:val="00967EE6"/>
    <w:rsid w:val="00967FE6"/>
    <w:rsid w:val="009702E6"/>
    <w:rsid w:val="00970834"/>
    <w:rsid w:val="00971309"/>
    <w:rsid w:val="009720F5"/>
    <w:rsid w:val="00972B66"/>
    <w:rsid w:val="00972BE6"/>
    <w:rsid w:val="0097370E"/>
    <w:rsid w:val="00974EDD"/>
    <w:rsid w:val="0097522C"/>
    <w:rsid w:val="0097540A"/>
    <w:rsid w:val="00975886"/>
    <w:rsid w:val="0097591C"/>
    <w:rsid w:val="009759C9"/>
    <w:rsid w:val="00975F89"/>
    <w:rsid w:val="00975FB3"/>
    <w:rsid w:val="00976090"/>
    <w:rsid w:val="00976328"/>
    <w:rsid w:val="0097680D"/>
    <w:rsid w:val="009768FB"/>
    <w:rsid w:val="00976AE8"/>
    <w:rsid w:val="00976AFB"/>
    <w:rsid w:val="00980819"/>
    <w:rsid w:val="00980A9E"/>
    <w:rsid w:val="00980D32"/>
    <w:rsid w:val="00981022"/>
    <w:rsid w:val="00981898"/>
    <w:rsid w:val="00981FB4"/>
    <w:rsid w:val="00982438"/>
    <w:rsid w:val="00982D7E"/>
    <w:rsid w:val="00982E5E"/>
    <w:rsid w:val="0098404C"/>
    <w:rsid w:val="0098407F"/>
    <w:rsid w:val="009841AF"/>
    <w:rsid w:val="0098449B"/>
    <w:rsid w:val="009848DD"/>
    <w:rsid w:val="00984999"/>
    <w:rsid w:val="00984BB7"/>
    <w:rsid w:val="00984BC1"/>
    <w:rsid w:val="00984C62"/>
    <w:rsid w:val="00984D1D"/>
    <w:rsid w:val="00985283"/>
    <w:rsid w:val="00985ABD"/>
    <w:rsid w:val="00985C66"/>
    <w:rsid w:val="00985EB4"/>
    <w:rsid w:val="009860D0"/>
    <w:rsid w:val="0098635A"/>
    <w:rsid w:val="00987488"/>
    <w:rsid w:val="009879C9"/>
    <w:rsid w:val="00990C61"/>
    <w:rsid w:val="009912D7"/>
    <w:rsid w:val="00991753"/>
    <w:rsid w:val="00991790"/>
    <w:rsid w:val="009926B1"/>
    <w:rsid w:val="00992EC8"/>
    <w:rsid w:val="0099313E"/>
    <w:rsid w:val="0099318F"/>
    <w:rsid w:val="009942D9"/>
    <w:rsid w:val="0099481D"/>
    <w:rsid w:val="00994BC2"/>
    <w:rsid w:val="00994E8D"/>
    <w:rsid w:val="009958D4"/>
    <w:rsid w:val="00995992"/>
    <w:rsid w:val="00996023"/>
    <w:rsid w:val="00996103"/>
    <w:rsid w:val="00996623"/>
    <w:rsid w:val="00996B02"/>
    <w:rsid w:val="0099728D"/>
    <w:rsid w:val="009A025D"/>
    <w:rsid w:val="009A03E5"/>
    <w:rsid w:val="009A0512"/>
    <w:rsid w:val="009A0BA1"/>
    <w:rsid w:val="009A0F3B"/>
    <w:rsid w:val="009A0FF1"/>
    <w:rsid w:val="009A11DE"/>
    <w:rsid w:val="009A1376"/>
    <w:rsid w:val="009A1BB4"/>
    <w:rsid w:val="009A2154"/>
    <w:rsid w:val="009A2328"/>
    <w:rsid w:val="009A254C"/>
    <w:rsid w:val="009A2628"/>
    <w:rsid w:val="009A310F"/>
    <w:rsid w:val="009A31A9"/>
    <w:rsid w:val="009A3200"/>
    <w:rsid w:val="009A38B5"/>
    <w:rsid w:val="009A38CE"/>
    <w:rsid w:val="009A3FA0"/>
    <w:rsid w:val="009A46E7"/>
    <w:rsid w:val="009A5498"/>
    <w:rsid w:val="009A5512"/>
    <w:rsid w:val="009A5579"/>
    <w:rsid w:val="009A5728"/>
    <w:rsid w:val="009A5931"/>
    <w:rsid w:val="009A5A19"/>
    <w:rsid w:val="009A71DB"/>
    <w:rsid w:val="009A7A09"/>
    <w:rsid w:val="009A7D98"/>
    <w:rsid w:val="009B0201"/>
    <w:rsid w:val="009B02CF"/>
    <w:rsid w:val="009B033B"/>
    <w:rsid w:val="009B041B"/>
    <w:rsid w:val="009B0897"/>
    <w:rsid w:val="009B0F36"/>
    <w:rsid w:val="009B104D"/>
    <w:rsid w:val="009B136E"/>
    <w:rsid w:val="009B1503"/>
    <w:rsid w:val="009B15D1"/>
    <w:rsid w:val="009B1702"/>
    <w:rsid w:val="009B1C88"/>
    <w:rsid w:val="009B2067"/>
    <w:rsid w:val="009B2194"/>
    <w:rsid w:val="009B2585"/>
    <w:rsid w:val="009B25FD"/>
    <w:rsid w:val="009B3912"/>
    <w:rsid w:val="009B44F3"/>
    <w:rsid w:val="009B498F"/>
    <w:rsid w:val="009B49B9"/>
    <w:rsid w:val="009B4C6B"/>
    <w:rsid w:val="009B52C4"/>
    <w:rsid w:val="009B547D"/>
    <w:rsid w:val="009B59D2"/>
    <w:rsid w:val="009B7BD9"/>
    <w:rsid w:val="009B7EF1"/>
    <w:rsid w:val="009C0C0F"/>
    <w:rsid w:val="009C0F86"/>
    <w:rsid w:val="009C17E1"/>
    <w:rsid w:val="009C1B50"/>
    <w:rsid w:val="009C1C4B"/>
    <w:rsid w:val="009C2340"/>
    <w:rsid w:val="009C2D69"/>
    <w:rsid w:val="009C374E"/>
    <w:rsid w:val="009C3E72"/>
    <w:rsid w:val="009C3FE9"/>
    <w:rsid w:val="009C44EA"/>
    <w:rsid w:val="009C450C"/>
    <w:rsid w:val="009C485A"/>
    <w:rsid w:val="009C5472"/>
    <w:rsid w:val="009C6A5C"/>
    <w:rsid w:val="009C70CE"/>
    <w:rsid w:val="009C751E"/>
    <w:rsid w:val="009C778F"/>
    <w:rsid w:val="009C7A4E"/>
    <w:rsid w:val="009C7A70"/>
    <w:rsid w:val="009C7DD5"/>
    <w:rsid w:val="009D0DCC"/>
    <w:rsid w:val="009D12C6"/>
    <w:rsid w:val="009D16A9"/>
    <w:rsid w:val="009D3089"/>
    <w:rsid w:val="009D357B"/>
    <w:rsid w:val="009D3850"/>
    <w:rsid w:val="009D3978"/>
    <w:rsid w:val="009D4352"/>
    <w:rsid w:val="009D4C64"/>
    <w:rsid w:val="009D533A"/>
    <w:rsid w:val="009D5B7E"/>
    <w:rsid w:val="009D60A5"/>
    <w:rsid w:val="009D668E"/>
    <w:rsid w:val="009D6EA8"/>
    <w:rsid w:val="009D7305"/>
    <w:rsid w:val="009D7FEE"/>
    <w:rsid w:val="009E016B"/>
    <w:rsid w:val="009E01DD"/>
    <w:rsid w:val="009E0309"/>
    <w:rsid w:val="009E04E0"/>
    <w:rsid w:val="009E05F0"/>
    <w:rsid w:val="009E067C"/>
    <w:rsid w:val="009E06B6"/>
    <w:rsid w:val="009E1280"/>
    <w:rsid w:val="009E1A86"/>
    <w:rsid w:val="009E227D"/>
    <w:rsid w:val="009E249F"/>
    <w:rsid w:val="009E2537"/>
    <w:rsid w:val="009E2A91"/>
    <w:rsid w:val="009E2B55"/>
    <w:rsid w:val="009E3996"/>
    <w:rsid w:val="009E3C07"/>
    <w:rsid w:val="009E406F"/>
    <w:rsid w:val="009E4C7B"/>
    <w:rsid w:val="009E5019"/>
    <w:rsid w:val="009E5359"/>
    <w:rsid w:val="009E580F"/>
    <w:rsid w:val="009E5A52"/>
    <w:rsid w:val="009E5B19"/>
    <w:rsid w:val="009E5D8D"/>
    <w:rsid w:val="009E66A4"/>
    <w:rsid w:val="009E7133"/>
    <w:rsid w:val="009E767B"/>
    <w:rsid w:val="009E7CA7"/>
    <w:rsid w:val="009F046A"/>
    <w:rsid w:val="009F07CF"/>
    <w:rsid w:val="009F1434"/>
    <w:rsid w:val="009F1A10"/>
    <w:rsid w:val="009F28EB"/>
    <w:rsid w:val="009F2F7C"/>
    <w:rsid w:val="009F2FAE"/>
    <w:rsid w:val="009F30BC"/>
    <w:rsid w:val="009F33B5"/>
    <w:rsid w:val="009F4681"/>
    <w:rsid w:val="009F489C"/>
    <w:rsid w:val="009F4C52"/>
    <w:rsid w:val="009F5112"/>
    <w:rsid w:val="009F5378"/>
    <w:rsid w:val="009F667F"/>
    <w:rsid w:val="009F6A54"/>
    <w:rsid w:val="009F6A76"/>
    <w:rsid w:val="009F7279"/>
    <w:rsid w:val="009F749E"/>
    <w:rsid w:val="00A00B52"/>
    <w:rsid w:val="00A00FF4"/>
    <w:rsid w:val="00A01778"/>
    <w:rsid w:val="00A01923"/>
    <w:rsid w:val="00A01EE9"/>
    <w:rsid w:val="00A02407"/>
    <w:rsid w:val="00A02F6A"/>
    <w:rsid w:val="00A03F1B"/>
    <w:rsid w:val="00A04750"/>
    <w:rsid w:val="00A04C9B"/>
    <w:rsid w:val="00A04CA7"/>
    <w:rsid w:val="00A04DF1"/>
    <w:rsid w:val="00A04F1B"/>
    <w:rsid w:val="00A0501B"/>
    <w:rsid w:val="00A06EC6"/>
    <w:rsid w:val="00A0722E"/>
    <w:rsid w:val="00A079AD"/>
    <w:rsid w:val="00A079F2"/>
    <w:rsid w:val="00A07C41"/>
    <w:rsid w:val="00A07DE3"/>
    <w:rsid w:val="00A10BA5"/>
    <w:rsid w:val="00A1120C"/>
    <w:rsid w:val="00A11C17"/>
    <w:rsid w:val="00A12A73"/>
    <w:rsid w:val="00A14608"/>
    <w:rsid w:val="00A14947"/>
    <w:rsid w:val="00A14B23"/>
    <w:rsid w:val="00A14CD1"/>
    <w:rsid w:val="00A14FCE"/>
    <w:rsid w:val="00A158E0"/>
    <w:rsid w:val="00A15914"/>
    <w:rsid w:val="00A15B79"/>
    <w:rsid w:val="00A15B9E"/>
    <w:rsid w:val="00A160AB"/>
    <w:rsid w:val="00A162F9"/>
    <w:rsid w:val="00A16590"/>
    <w:rsid w:val="00A16609"/>
    <w:rsid w:val="00A17423"/>
    <w:rsid w:val="00A176E9"/>
    <w:rsid w:val="00A17A38"/>
    <w:rsid w:val="00A2105F"/>
    <w:rsid w:val="00A214D5"/>
    <w:rsid w:val="00A21571"/>
    <w:rsid w:val="00A21AC1"/>
    <w:rsid w:val="00A21D30"/>
    <w:rsid w:val="00A22B9E"/>
    <w:rsid w:val="00A23363"/>
    <w:rsid w:val="00A2362F"/>
    <w:rsid w:val="00A23947"/>
    <w:rsid w:val="00A242F2"/>
    <w:rsid w:val="00A24415"/>
    <w:rsid w:val="00A2505C"/>
    <w:rsid w:val="00A252C5"/>
    <w:rsid w:val="00A265C2"/>
    <w:rsid w:val="00A26696"/>
    <w:rsid w:val="00A26806"/>
    <w:rsid w:val="00A27FBF"/>
    <w:rsid w:val="00A306B6"/>
    <w:rsid w:val="00A31A83"/>
    <w:rsid w:val="00A31E67"/>
    <w:rsid w:val="00A3239D"/>
    <w:rsid w:val="00A323CC"/>
    <w:rsid w:val="00A326EA"/>
    <w:rsid w:val="00A327FC"/>
    <w:rsid w:val="00A32A83"/>
    <w:rsid w:val="00A335B0"/>
    <w:rsid w:val="00A33749"/>
    <w:rsid w:val="00A3452B"/>
    <w:rsid w:val="00A34AF6"/>
    <w:rsid w:val="00A34C93"/>
    <w:rsid w:val="00A350F7"/>
    <w:rsid w:val="00A35582"/>
    <w:rsid w:val="00A3581D"/>
    <w:rsid w:val="00A35C70"/>
    <w:rsid w:val="00A35DE8"/>
    <w:rsid w:val="00A35DF8"/>
    <w:rsid w:val="00A3683B"/>
    <w:rsid w:val="00A368DB"/>
    <w:rsid w:val="00A36DB1"/>
    <w:rsid w:val="00A36F1B"/>
    <w:rsid w:val="00A373B8"/>
    <w:rsid w:val="00A4002B"/>
    <w:rsid w:val="00A40034"/>
    <w:rsid w:val="00A409D7"/>
    <w:rsid w:val="00A40A45"/>
    <w:rsid w:val="00A410E4"/>
    <w:rsid w:val="00A420D3"/>
    <w:rsid w:val="00A423AA"/>
    <w:rsid w:val="00A426BD"/>
    <w:rsid w:val="00A42B45"/>
    <w:rsid w:val="00A42D64"/>
    <w:rsid w:val="00A42F53"/>
    <w:rsid w:val="00A4394E"/>
    <w:rsid w:val="00A43BE2"/>
    <w:rsid w:val="00A445F5"/>
    <w:rsid w:val="00A4528A"/>
    <w:rsid w:val="00A4531B"/>
    <w:rsid w:val="00A455BD"/>
    <w:rsid w:val="00A45F34"/>
    <w:rsid w:val="00A472D7"/>
    <w:rsid w:val="00A47761"/>
    <w:rsid w:val="00A477DF"/>
    <w:rsid w:val="00A47C03"/>
    <w:rsid w:val="00A50E37"/>
    <w:rsid w:val="00A50F66"/>
    <w:rsid w:val="00A51B49"/>
    <w:rsid w:val="00A52449"/>
    <w:rsid w:val="00A52569"/>
    <w:rsid w:val="00A526D6"/>
    <w:rsid w:val="00A52CEC"/>
    <w:rsid w:val="00A530BC"/>
    <w:rsid w:val="00A534CB"/>
    <w:rsid w:val="00A535C3"/>
    <w:rsid w:val="00A53EC6"/>
    <w:rsid w:val="00A53FB8"/>
    <w:rsid w:val="00A547B8"/>
    <w:rsid w:val="00A54D2A"/>
    <w:rsid w:val="00A5592B"/>
    <w:rsid w:val="00A55AEE"/>
    <w:rsid w:val="00A55C0F"/>
    <w:rsid w:val="00A5666D"/>
    <w:rsid w:val="00A56CC3"/>
    <w:rsid w:val="00A57203"/>
    <w:rsid w:val="00A60231"/>
    <w:rsid w:val="00A6050E"/>
    <w:rsid w:val="00A608BE"/>
    <w:rsid w:val="00A60BCA"/>
    <w:rsid w:val="00A6298E"/>
    <w:rsid w:val="00A632F0"/>
    <w:rsid w:val="00A64129"/>
    <w:rsid w:val="00A66EB6"/>
    <w:rsid w:val="00A67037"/>
    <w:rsid w:val="00A67B97"/>
    <w:rsid w:val="00A67D5A"/>
    <w:rsid w:val="00A709A9"/>
    <w:rsid w:val="00A70CA4"/>
    <w:rsid w:val="00A70D11"/>
    <w:rsid w:val="00A720F1"/>
    <w:rsid w:val="00A7226B"/>
    <w:rsid w:val="00A7254E"/>
    <w:rsid w:val="00A72943"/>
    <w:rsid w:val="00A73404"/>
    <w:rsid w:val="00A734F2"/>
    <w:rsid w:val="00A7395E"/>
    <w:rsid w:val="00A73F66"/>
    <w:rsid w:val="00A74F15"/>
    <w:rsid w:val="00A75155"/>
    <w:rsid w:val="00A751E9"/>
    <w:rsid w:val="00A75685"/>
    <w:rsid w:val="00A75AD0"/>
    <w:rsid w:val="00A75E20"/>
    <w:rsid w:val="00A7605F"/>
    <w:rsid w:val="00A760A3"/>
    <w:rsid w:val="00A77743"/>
    <w:rsid w:val="00A77955"/>
    <w:rsid w:val="00A779CB"/>
    <w:rsid w:val="00A77DCE"/>
    <w:rsid w:val="00A806B7"/>
    <w:rsid w:val="00A8080D"/>
    <w:rsid w:val="00A80F4A"/>
    <w:rsid w:val="00A80FD4"/>
    <w:rsid w:val="00A82867"/>
    <w:rsid w:val="00A82A87"/>
    <w:rsid w:val="00A82BAC"/>
    <w:rsid w:val="00A833FD"/>
    <w:rsid w:val="00A836A3"/>
    <w:rsid w:val="00A83A32"/>
    <w:rsid w:val="00A83ADD"/>
    <w:rsid w:val="00A83E5C"/>
    <w:rsid w:val="00A844D3"/>
    <w:rsid w:val="00A85176"/>
    <w:rsid w:val="00A852A0"/>
    <w:rsid w:val="00A85EE1"/>
    <w:rsid w:val="00A86292"/>
    <w:rsid w:val="00A867A5"/>
    <w:rsid w:val="00A8687A"/>
    <w:rsid w:val="00A8688E"/>
    <w:rsid w:val="00A8713F"/>
    <w:rsid w:val="00A879C5"/>
    <w:rsid w:val="00A900BD"/>
    <w:rsid w:val="00A902D5"/>
    <w:rsid w:val="00A9035F"/>
    <w:rsid w:val="00A907FA"/>
    <w:rsid w:val="00A90AED"/>
    <w:rsid w:val="00A90BA1"/>
    <w:rsid w:val="00A90C80"/>
    <w:rsid w:val="00A90D5C"/>
    <w:rsid w:val="00A91276"/>
    <w:rsid w:val="00A91510"/>
    <w:rsid w:val="00A91873"/>
    <w:rsid w:val="00A918F3"/>
    <w:rsid w:val="00A929D5"/>
    <w:rsid w:val="00A937E3"/>
    <w:rsid w:val="00A9391C"/>
    <w:rsid w:val="00A93A02"/>
    <w:rsid w:val="00A93A85"/>
    <w:rsid w:val="00A93AE0"/>
    <w:rsid w:val="00A94728"/>
    <w:rsid w:val="00A94A5D"/>
    <w:rsid w:val="00A94AB2"/>
    <w:rsid w:val="00A94FB0"/>
    <w:rsid w:val="00A954AB"/>
    <w:rsid w:val="00A95FDD"/>
    <w:rsid w:val="00A96289"/>
    <w:rsid w:val="00A962A7"/>
    <w:rsid w:val="00A9666A"/>
    <w:rsid w:val="00A96794"/>
    <w:rsid w:val="00A979B7"/>
    <w:rsid w:val="00A97A9A"/>
    <w:rsid w:val="00A97B88"/>
    <w:rsid w:val="00AA0671"/>
    <w:rsid w:val="00AA086C"/>
    <w:rsid w:val="00AA0B96"/>
    <w:rsid w:val="00AA0BB9"/>
    <w:rsid w:val="00AA0FFB"/>
    <w:rsid w:val="00AA115A"/>
    <w:rsid w:val="00AA1412"/>
    <w:rsid w:val="00AA18DB"/>
    <w:rsid w:val="00AA1ADE"/>
    <w:rsid w:val="00AA2060"/>
    <w:rsid w:val="00AA2531"/>
    <w:rsid w:val="00AA26E0"/>
    <w:rsid w:val="00AA2E20"/>
    <w:rsid w:val="00AA2EE8"/>
    <w:rsid w:val="00AA321C"/>
    <w:rsid w:val="00AA340D"/>
    <w:rsid w:val="00AA36F0"/>
    <w:rsid w:val="00AA3915"/>
    <w:rsid w:val="00AA3935"/>
    <w:rsid w:val="00AA3DF5"/>
    <w:rsid w:val="00AA4087"/>
    <w:rsid w:val="00AA4558"/>
    <w:rsid w:val="00AA49BB"/>
    <w:rsid w:val="00AA4D26"/>
    <w:rsid w:val="00AA65B4"/>
    <w:rsid w:val="00AA6A09"/>
    <w:rsid w:val="00AA7527"/>
    <w:rsid w:val="00AA79CD"/>
    <w:rsid w:val="00AB00C1"/>
    <w:rsid w:val="00AB08D0"/>
    <w:rsid w:val="00AB1C62"/>
    <w:rsid w:val="00AB1E09"/>
    <w:rsid w:val="00AB2B13"/>
    <w:rsid w:val="00AB2BEF"/>
    <w:rsid w:val="00AB2D86"/>
    <w:rsid w:val="00AB30B0"/>
    <w:rsid w:val="00AB3193"/>
    <w:rsid w:val="00AB31BD"/>
    <w:rsid w:val="00AB372C"/>
    <w:rsid w:val="00AB4440"/>
    <w:rsid w:val="00AB4475"/>
    <w:rsid w:val="00AB4933"/>
    <w:rsid w:val="00AB4BAA"/>
    <w:rsid w:val="00AB4C38"/>
    <w:rsid w:val="00AB4F1C"/>
    <w:rsid w:val="00AB5124"/>
    <w:rsid w:val="00AB5330"/>
    <w:rsid w:val="00AB566C"/>
    <w:rsid w:val="00AB5B6A"/>
    <w:rsid w:val="00AB5F00"/>
    <w:rsid w:val="00AB5FD7"/>
    <w:rsid w:val="00AB61F3"/>
    <w:rsid w:val="00AB6354"/>
    <w:rsid w:val="00AB65AC"/>
    <w:rsid w:val="00AB6866"/>
    <w:rsid w:val="00AB6BA5"/>
    <w:rsid w:val="00AB6E39"/>
    <w:rsid w:val="00AB7747"/>
    <w:rsid w:val="00AB795C"/>
    <w:rsid w:val="00AB7CB8"/>
    <w:rsid w:val="00AC0097"/>
    <w:rsid w:val="00AC0154"/>
    <w:rsid w:val="00AC01D7"/>
    <w:rsid w:val="00AC03E2"/>
    <w:rsid w:val="00AC053C"/>
    <w:rsid w:val="00AC08CE"/>
    <w:rsid w:val="00AC0941"/>
    <w:rsid w:val="00AC14CE"/>
    <w:rsid w:val="00AC1752"/>
    <w:rsid w:val="00AC1AC3"/>
    <w:rsid w:val="00AC2422"/>
    <w:rsid w:val="00AC28AC"/>
    <w:rsid w:val="00AC2A56"/>
    <w:rsid w:val="00AC2C2D"/>
    <w:rsid w:val="00AC3118"/>
    <w:rsid w:val="00AC324D"/>
    <w:rsid w:val="00AC38E7"/>
    <w:rsid w:val="00AC3BB5"/>
    <w:rsid w:val="00AC3FE1"/>
    <w:rsid w:val="00AC419B"/>
    <w:rsid w:val="00AC44DD"/>
    <w:rsid w:val="00AC454D"/>
    <w:rsid w:val="00AC4D84"/>
    <w:rsid w:val="00AC75E9"/>
    <w:rsid w:val="00AC76DA"/>
    <w:rsid w:val="00AC7833"/>
    <w:rsid w:val="00AD00DE"/>
    <w:rsid w:val="00AD055E"/>
    <w:rsid w:val="00AD0D03"/>
    <w:rsid w:val="00AD1182"/>
    <w:rsid w:val="00AD14F6"/>
    <w:rsid w:val="00AD2572"/>
    <w:rsid w:val="00AD2F55"/>
    <w:rsid w:val="00AD386B"/>
    <w:rsid w:val="00AD3A3E"/>
    <w:rsid w:val="00AD3C78"/>
    <w:rsid w:val="00AD42C5"/>
    <w:rsid w:val="00AD4763"/>
    <w:rsid w:val="00AD47A7"/>
    <w:rsid w:val="00AD5409"/>
    <w:rsid w:val="00AD55EC"/>
    <w:rsid w:val="00AD5628"/>
    <w:rsid w:val="00AD58D1"/>
    <w:rsid w:val="00AD5C11"/>
    <w:rsid w:val="00AD5E07"/>
    <w:rsid w:val="00AD5E43"/>
    <w:rsid w:val="00AD5EAD"/>
    <w:rsid w:val="00AD640A"/>
    <w:rsid w:val="00AD679F"/>
    <w:rsid w:val="00AD6EF7"/>
    <w:rsid w:val="00AD703A"/>
    <w:rsid w:val="00AD7CE1"/>
    <w:rsid w:val="00AE0344"/>
    <w:rsid w:val="00AE037C"/>
    <w:rsid w:val="00AE0541"/>
    <w:rsid w:val="00AE1E35"/>
    <w:rsid w:val="00AE1F0C"/>
    <w:rsid w:val="00AE23AB"/>
    <w:rsid w:val="00AE3371"/>
    <w:rsid w:val="00AE3B95"/>
    <w:rsid w:val="00AE3F15"/>
    <w:rsid w:val="00AE46B9"/>
    <w:rsid w:val="00AE4809"/>
    <w:rsid w:val="00AE4C19"/>
    <w:rsid w:val="00AE5005"/>
    <w:rsid w:val="00AE5B8B"/>
    <w:rsid w:val="00AE685A"/>
    <w:rsid w:val="00AE76AA"/>
    <w:rsid w:val="00AE7A21"/>
    <w:rsid w:val="00AE7B56"/>
    <w:rsid w:val="00AE7FF1"/>
    <w:rsid w:val="00AF086A"/>
    <w:rsid w:val="00AF0A7E"/>
    <w:rsid w:val="00AF0CBF"/>
    <w:rsid w:val="00AF0FA8"/>
    <w:rsid w:val="00AF257F"/>
    <w:rsid w:val="00AF272F"/>
    <w:rsid w:val="00AF3095"/>
    <w:rsid w:val="00AF30A1"/>
    <w:rsid w:val="00AF3196"/>
    <w:rsid w:val="00AF3352"/>
    <w:rsid w:val="00AF33CF"/>
    <w:rsid w:val="00AF36DA"/>
    <w:rsid w:val="00AF3A80"/>
    <w:rsid w:val="00AF48D5"/>
    <w:rsid w:val="00AF4D50"/>
    <w:rsid w:val="00AF56E8"/>
    <w:rsid w:val="00AF5802"/>
    <w:rsid w:val="00AF60F0"/>
    <w:rsid w:val="00AF6179"/>
    <w:rsid w:val="00AF6222"/>
    <w:rsid w:val="00AF627F"/>
    <w:rsid w:val="00AF632C"/>
    <w:rsid w:val="00AF652A"/>
    <w:rsid w:val="00AF6B32"/>
    <w:rsid w:val="00AF6D29"/>
    <w:rsid w:val="00AF6F53"/>
    <w:rsid w:val="00AF75D6"/>
    <w:rsid w:val="00AF76DE"/>
    <w:rsid w:val="00AF7BBD"/>
    <w:rsid w:val="00B0018E"/>
    <w:rsid w:val="00B009D0"/>
    <w:rsid w:val="00B00A74"/>
    <w:rsid w:val="00B01298"/>
    <w:rsid w:val="00B01BF0"/>
    <w:rsid w:val="00B01C61"/>
    <w:rsid w:val="00B027C9"/>
    <w:rsid w:val="00B02981"/>
    <w:rsid w:val="00B02E91"/>
    <w:rsid w:val="00B02FAB"/>
    <w:rsid w:val="00B03638"/>
    <w:rsid w:val="00B03A6A"/>
    <w:rsid w:val="00B03C8B"/>
    <w:rsid w:val="00B0423E"/>
    <w:rsid w:val="00B04A5D"/>
    <w:rsid w:val="00B04C13"/>
    <w:rsid w:val="00B05701"/>
    <w:rsid w:val="00B060BE"/>
    <w:rsid w:val="00B063EA"/>
    <w:rsid w:val="00B06529"/>
    <w:rsid w:val="00B067B8"/>
    <w:rsid w:val="00B076C6"/>
    <w:rsid w:val="00B10236"/>
    <w:rsid w:val="00B102D0"/>
    <w:rsid w:val="00B10317"/>
    <w:rsid w:val="00B10995"/>
    <w:rsid w:val="00B10B8D"/>
    <w:rsid w:val="00B10C16"/>
    <w:rsid w:val="00B10D6C"/>
    <w:rsid w:val="00B10E36"/>
    <w:rsid w:val="00B10E45"/>
    <w:rsid w:val="00B11046"/>
    <w:rsid w:val="00B11130"/>
    <w:rsid w:val="00B11686"/>
    <w:rsid w:val="00B11771"/>
    <w:rsid w:val="00B128CE"/>
    <w:rsid w:val="00B1295A"/>
    <w:rsid w:val="00B12B11"/>
    <w:rsid w:val="00B13465"/>
    <w:rsid w:val="00B1377D"/>
    <w:rsid w:val="00B13948"/>
    <w:rsid w:val="00B13D17"/>
    <w:rsid w:val="00B14FE3"/>
    <w:rsid w:val="00B15464"/>
    <w:rsid w:val="00B154A0"/>
    <w:rsid w:val="00B15547"/>
    <w:rsid w:val="00B15DE2"/>
    <w:rsid w:val="00B16479"/>
    <w:rsid w:val="00B16AE4"/>
    <w:rsid w:val="00B16FB2"/>
    <w:rsid w:val="00B179D3"/>
    <w:rsid w:val="00B20649"/>
    <w:rsid w:val="00B20A45"/>
    <w:rsid w:val="00B22501"/>
    <w:rsid w:val="00B22C5C"/>
    <w:rsid w:val="00B23074"/>
    <w:rsid w:val="00B23202"/>
    <w:rsid w:val="00B23AF8"/>
    <w:rsid w:val="00B23B3B"/>
    <w:rsid w:val="00B240EA"/>
    <w:rsid w:val="00B24775"/>
    <w:rsid w:val="00B24F30"/>
    <w:rsid w:val="00B25998"/>
    <w:rsid w:val="00B26068"/>
    <w:rsid w:val="00B2636B"/>
    <w:rsid w:val="00B278B5"/>
    <w:rsid w:val="00B27A25"/>
    <w:rsid w:val="00B27F7B"/>
    <w:rsid w:val="00B304CA"/>
    <w:rsid w:val="00B30B69"/>
    <w:rsid w:val="00B3131F"/>
    <w:rsid w:val="00B31505"/>
    <w:rsid w:val="00B318C5"/>
    <w:rsid w:val="00B31ABF"/>
    <w:rsid w:val="00B31CCE"/>
    <w:rsid w:val="00B31D01"/>
    <w:rsid w:val="00B31F72"/>
    <w:rsid w:val="00B32032"/>
    <w:rsid w:val="00B32321"/>
    <w:rsid w:val="00B32869"/>
    <w:rsid w:val="00B3325A"/>
    <w:rsid w:val="00B333C6"/>
    <w:rsid w:val="00B334D0"/>
    <w:rsid w:val="00B3378B"/>
    <w:rsid w:val="00B33BE3"/>
    <w:rsid w:val="00B33D20"/>
    <w:rsid w:val="00B33DFB"/>
    <w:rsid w:val="00B34012"/>
    <w:rsid w:val="00B34B52"/>
    <w:rsid w:val="00B34DEA"/>
    <w:rsid w:val="00B34E3C"/>
    <w:rsid w:val="00B35281"/>
    <w:rsid w:val="00B3562B"/>
    <w:rsid w:val="00B3592B"/>
    <w:rsid w:val="00B35F23"/>
    <w:rsid w:val="00B36A19"/>
    <w:rsid w:val="00B36C39"/>
    <w:rsid w:val="00B37F92"/>
    <w:rsid w:val="00B409A4"/>
    <w:rsid w:val="00B40ACB"/>
    <w:rsid w:val="00B40FDC"/>
    <w:rsid w:val="00B41316"/>
    <w:rsid w:val="00B42D92"/>
    <w:rsid w:val="00B430AB"/>
    <w:rsid w:val="00B434F7"/>
    <w:rsid w:val="00B43C1E"/>
    <w:rsid w:val="00B444D1"/>
    <w:rsid w:val="00B45C4B"/>
    <w:rsid w:val="00B45D10"/>
    <w:rsid w:val="00B464D6"/>
    <w:rsid w:val="00B46FF5"/>
    <w:rsid w:val="00B474C9"/>
    <w:rsid w:val="00B475CF"/>
    <w:rsid w:val="00B47C03"/>
    <w:rsid w:val="00B47C0B"/>
    <w:rsid w:val="00B47F64"/>
    <w:rsid w:val="00B50724"/>
    <w:rsid w:val="00B507C4"/>
    <w:rsid w:val="00B50920"/>
    <w:rsid w:val="00B509F2"/>
    <w:rsid w:val="00B50B39"/>
    <w:rsid w:val="00B50CF2"/>
    <w:rsid w:val="00B514C9"/>
    <w:rsid w:val="00B5198F"/>
    <w:rsid w:val="00B51C21"/>
    <w:rsid w:val="00B51EA8"/>
    <w:rsid w:val="00B5201D"/>
    <w:rsid w:val="00B5276B"/>
    <w:rsid w:val="00B52D36"/>
    <w:rsid w:val="00B535AF"/>
    <w:rsid w:val="00B53804"/>
    <w:rsid w:val="00B53B5D"/>
    <w:rsid w:val="00B53BC1"/>
    <w:rsid w:val="00B53C43"/>
    <w:rsid w:val="00B53CBF"/>
    <w:rsid w:val="00B53DB5"/>
    <w:rsid w:val="00B54AD4"/>
    <w:rsid w:val="00B54D90"/>
    <w:rsid w:val="00B5560F"/>
    <w:rsid w:val="00B560EB"/>
    <w:rsid w:val="00B564C3"/>
    <w:rsid w:val="00B56652"/>
    <w:rsid w:val="00B566CE"/>
    <w:rsid w:val="00B569FA"/>
    <w:rsid w:val="00B5703D"/>
    <w:rsid w:val="00B5753B"/>
    <w:rsid w:val="00B57F38"/>
    <w:rsid w:val="00B6007D"/>
    <w:rsid w:val="00B6023F"/>
    <w:rsid w:val="00B6032F"/>
    <w:rsid w:val="00B6055E"/>
    <w:rsid w:val="00B60807"/>
    <w:rsid w:val="00B608A9"/>
    <w:rsid w:val="00B60B85"/>
    <w:rsid w:val="00B6165F"/>
    <w:rsid w:val="00B6220F"/>
    <w:rsid w:val="00B62716"/>
    <w:rsid w:val="00B62CEC"/>
    <w:rsid w:val="00B62E48"/>
    <w:rsid w:val="00B6317D"/>
    <w:rsid w:val="00B639A8"/>
    <w:rsid w:val="00B6479D"/>
    <w:rsid w:val="00B6492D"/>
    <w:rsid w:val="00B659E6"/>
    <w:rsid w:val="00B6629D"/>
    <w:rsid w:val="00B66811"/>
    <w:rsid w:val="00B669B4"/>
    <w:rsid w:val="00B67534"/>
    <w:rsid w:val="00B6769E"/>
    <w:rsid w:val="00B678EE"/>
    <w:rsid w:val="00B67943"/>
    <w:rsid w:val="00B67FA2"/>
    <w:rsid w:val="00B70048"/>
    <w:rsid w:val="00B7029C"/>
    <w:rsid w:val="00B7096C"/>
    <w:rsid w:val="00B71C12"/>
    <w:rsid w:val="00B71C4D"/>
    <w:rsid w:val="00B72318"/>
    <w:rsid w:val="00B7237D"/>
    <w:rsid w:val="00B7246F"/>
    <w:rsid w:val="00B726CB"/>
    <w:rsid w:val="00B73E86"/>
    <w:rsid w:val="00B73FBD"/>
    <w:rsid w:val="00B73FE2"/>
    <w:rsid w:val="00B7411D"/>
    <w:rsid w:val="00B74B85"/>
    <w:rsid w:val="00B75108"/>
    <w:rsid w:val="00B7538F"/>
    <w:rsid w:val="00B7658E"/>
    <w:rsid w:val="00B76CEB"/>
    <w:rsid w:val="00B76EFC"/>
    <w:rsid w:val="00B770D5"/>
    <w:rsid w:val="00B7723F"/>
    <w:rsid w:val="00B77716"/>
    <w:rsid w:val="00B77797"/>
    <w:rsid w:val="00B80023"/>
    <w:rsid w:val="00B80534"/>
    <w:rsid w:val="00B807C9"/>
    <w:rsid w:val="00B80B05"/>
    <w:rsid w:val="00B80BFC"/>
    <w:rsid w:val="00B80E0F"/>
    <w:rsid w:val="00B80F4C"/>
    <w:rsid w:val="00B8151F"/>
    <w:rsid w:val="00B819E0"/>
    <w:rsid w:val="00B81C58"/>
    <w:rsid w:val="00B81D71"/>
    <w:rsid w:val="00B8240B"/>
    <w:rsid w:val="00B8277C"/>
    <w:rsid w:val="00B829F7"/>
    <w:rsid w:val="00B82A03"/>
    <w:rsid w:val="00B82E93"/>
    <w:rsid w:val="00B83398"/>
    <w:rsid w:val="00B838F8"/>
    <w:rsid w:val="00B8433C"/>
    <w:rsid w:val="00B84DB0"/>
    <w:rsid w:val="00B85D5D"/>
    <w:rsid w:val="00B85E87"/>
    <w:rsid w:val="00B85EF2"/>
    <w:rsid w:val="00B85F34"/>
    <w:rsid w:val="00B85F64"/>
    <w:rsid w:val="00B862E1"/>
    <w:rsid w:val="00B86FFE"/>
    <w:rsid w:val="00B87491"/>
    <w:rsid w:val="00B879A1"/>
    <w:rsid w:val="00B87AE4"/>
    <w:rsid w:val="00B87FB5"/>
    <w:rsid w:val="00B9089D"/>
    <w:rsid w:val="00B9099D"/>
    <w:rsid w:val="00B91285"/>
    <w:rsid w:val="00B918E9"/>
    <w:rsid w:val="00B91C5C"/>
    <w:rsid w:val="00B9251C"/>
    <w:rsid w:val="00B93474"/>
    <w:rsid w:val="00B93789"/>
    <w:rsid w:val="00B94757"/>
    <w:rsid w:val="00B94FD6"/>
    <w:rsid w:val="00B9517A"/>
    <w:rsid w:val="00B954F7"/>
    <w:rsid w:val="00B9563A"/>
    <w:rsid w:val="00B9667A"/>
    <w:rsid w:val="00B978D4"/>
    <w:rsid w:val="00BA0DC7"/>
    <w:rsid w:val="00BA101D"/>
    <w:rsid w:val="00BA12C8"/>
    <w:rsid w:val="00BA1459"/>
    <w:rsid w:val="00BA17DA"/>
    <w:rsid w:val="00BA29E9"/>
    <w:rsid w:val="00BA326D"/>
    <w:rsid w:val="00BA338A"/>
    <w:rsid w:val="00BA3B47"/>
    <w:rsid w:val="00BA3E71"/>
    <w:rsid w:val="00BA4C06"/>
    <w:rsid w:val="00BA5129"/>
    <w:rsid w:val="00BA538D"/>
    <w:rsid w:val="00BA5AB5"/>
    <w:rsid w:val="00BA6140"/>
    <w:rsid w:val="00BA6921"/>
    <w:rsid w:val="00BA7142"/>
    <w:rsid w:val="00BA7386"/>
    <w:rsid w:val="00BA792C"/>
    <w:rsid w:val="00BB045C"/>
    <w:rsid w:val="00BB0AAA"/>
    <w:rsid w:val="00BB0B19"/>
    <w:rsid w:val="00BB1124"/>
    <w:rsid w:val="00BB152C"/>
    <w:rsid w:val="00BB204E"/>
    <w:rsid w:val="00BB237C"/>
    <w:rsid w:val="00BB2439"/>
    <w:rsid w:val="00BB27E7"/>
    <w:rsid w:val="00BB2A81"/>
    <w:rsid w:val="00BB2AF7"/>
    <w:rsid w:val="00BB2CD0"/>
    <w:rsid w:val="00BB3653"/>
    <w:rsid w:val="00BB3719"/>
    <w:rsid w:val="00BB4121"/>
    <w:rsid w:val="00BB41A3"/>
    <w:rsid w:val="00BB44A5"/>
    <w:rsid w:val="00BB4EE4"/>
    <w:rsid w:val="00BB528D"/>
    <w:rsid w:val="00BB5A9A"/>
    <w:rsid w:val="00BB5B45"/>
    <w:rsid w:val="00BB610F"/>
    <w:rsid w:val="00BB6344"/>
    <w:rsid w:val="00BB73D1"/>
    <w:rsid w:val="00BB7819"/>
    <w:rsid w:val="00BB7BF4"/>
    <w:rsid w:val="00BB7F0A"/>
    <w:rsid w:val="00BB7FF4"/>
    <w:rsid w:val="00BC24B9"/>
    <w:rsid w:val="00BC2716"/>
    <w:rsid w:val="00BC2892"/>
    <w:rsid w:val="00BC28FB"/>
    <w:rsid w:val="00BC3291"/>
    <w:rsid w:val="00BC32DC"/>
    <w:rsid w:val="00BC35B6"/>
    <w:rsid w:val="00BC4441"/>
    <w:rsid w:val="00BC53EA"/>
    <w:rsid w:val="00BC5887"/>
    <w:rsid w:val="00BC67CC"/>
    <w:rsid w:val="00BC69DB"/>
    <w:rsid w:val="00BC6B56"/>
    <w:rsid w:val="00BC7B84"/>
    <w:rsid w:val="00BC7CED"/>
    <w:rsid w:val="00BC7E37"/>
    <w:rsid w:val="00BD0305"/>
    <w:rsid w:val="00BD0B76"/>
    <w:rsid w:val="00BD144E"/>
    <w:rsid w:val="00BD1B51"/>
    <w:rsid w:val="00BD23BC"/>
    <w:rsid w:val="00BD2BC6"/>
    <w:rsid w:val="00BD363E"/>
    <w:rsid w:val="00BD3BA8"/>
    <w:rsid w:val="00BD4596"/>
    <w:rsid w:val="00BD4C33"/>
    <w:rsid w:val="00BD516A"/>
    <w:rsid w:val="00BD51F9"/>
    <w:rsid w:val="00BD607D"/>
    <w:rsid w:val="00BD6206"/>
    <w:rsid w:val="00BD62CD"/>
    <w:rsid w:val="00BD6966"/>
    <w:rsid w:val="00BD6D3F"/>
    <w:rsid w:val="00BD6FDC"/>
    <w:rsid w:val="00BD70F2"/>
    <w:rsid w:val="00BD7885"/>
    <w:rsid w:val="00BD79E5"/>
    <w:rsid w:val="00BD7E35"/>
    <w:rsid w:val="00BE04D7"/>
    <w:rsid w:val="00BE0A0B"/>
    <w:rsid w:val="00BE0A44"/>
    <w:rsid w:val="00BE0D35"/>
    <w:rsid w:val="00BE1405"/>
    <w:rsid w:val="00BE1694"/>
    <w:rsid w:val="00BE2129"/>
    <w:rsid w:val="00BE263E"/>
    <w:rsid w:val="00BE2A3D"/>
    <w:rsid w:val="00BE2A92"/>
    <w:rsid w:val="00BE312D"/>
    <w:rsid w:val="00BE41A2"/>
    <w:rsid w:val="00BE4893"/>
    <w:rsid w:val="00BE4A41"/>
    <w:rsid w:val="00BE60DD"/>
    <w:rsid w:val="00BE6155"/>
    <w:rsid w:val="00BE6222"/>
    <w:rsid w:val="00BE6AAD"/>
    <w:rsid w:val="00BE702E"/>
    <w:rsid w:val="00BE78B2"/>
    <w:rsid w:val="00BE7F51"/>
    <w:rsid w:val="00BF0ED8"/>
    <w:rsid w:val="00BF1C20"/>
    <w:rsid w:val="00BF1CA9"/>
    <w:rsid w:val="00BF204F"/>
    <w:rsid w:val="00BF3AE2"/>
    <w:rsid w:val="00BF46D7"/>
    <w:rsid w:val="00BF4857"/>
    <w:rsid w:val="00BF4972"/>
    <w:rsid w:val="00BF625A"/>
    <w:rsid w:val="00BF6452"/>
    <w:rsid w:val="00BF685E"/>
    <w:rsid w:val="00BF6FA1"/>
    <w:rsid w:val="00BF7455"/>
    <w:rsid w:val="00C005C7"/>
    <w:rsid w:val="00C0065B"/>
    <w:rsid w:val="00C01023"/>
    <w:rsid w:val="00C0148B"/>
    <w:rsid w:val="00C0152A"/>
    <w:rsid w:val="00C0167B"/>
    <w:rsid w:val="00C016D6"/>
    <w:rsid w:val="00C02856"/>
    <w:rsid w:val="00C028F0"/>
    <w:rsid w:val="00C02935"/>
    <w:rsid w:val="00C03082"/>
    <w:rsid w:val="00C03164"/>
    <w:rsid w:val="00C037B8"/>
    <w:rsid w:val="00C039C7"/>
    <w:rsid w:val="00C0460D"/>
    <w:rsid w:val="00C04A4C"/>
    <w:rsid w:val="00C0572B"/>
    <w:rsid w:val="00C05876"/>
    <w:rsid w:val="00C05E3F"/>
    <w:rsid w:val="00C0621E"/>
    <w:rsid w:val="00C063B7"/>
    <w:rsid w:val="00C0642A"/>
    <w:rsid w:val="00C06E37"/>
    <w:rsid w:val="00C06FAF"/>
    <w:rsid w:val="00C074C6"/>
    <w:rsid w:val="00C07648"/>
    <w:rsid w:val="00C076BC"/>
    <w:rsid w:val="00C07AC4"/>
    <w:rsid w:val="00C07C86"/>
    <w:rsid w:val="00C10578"/>
    <w:rsid w:val="00C105B9"/>
    <w:rsid w:val="00C10C29"/>
    <w:rsid w:val="00C10DC0"/>
    <w:rsid w:val="00C124AB"/>
    <w:rsid w:val="00C12931"/>
    <w:rsid w:val="00C12CE1"/>
    <w:rsid w:val="00C130CA"/>
    <w:rsid w:val="00C135BC"/>
    <w:rsid w:val="00C13B7E"/>
    <w:rsid w:val="00C13E74"/>
    <w:rsid w:val="00C14A11"/>
    <w:rsid w:val="00C15429"/>
    <w:rsid w:val="00C1547E"/>
    <w:rsid w:val="00C158E8"/>
    <w:rsid w:val="00C15C95"/>
    <w:rsid w:val="00C15D73"/>
    <w:rsid w:val="00C16265"/>
    <w:rsid w:val="00C166E4"/>
    <w:rsid w:val="00C1677E"/>
    <w:rsid w:val="00C16E37"/>
    <w:rsid w:val="00C17415"/>
    <w:rsid w:val="00C17637"/>
    <w:rsid w:val="00C20174"/>
    <w:rsid w:val="00C205A4"/>
    <w:rsid w:val="00C21D04"/>
    <w:rsid w:val="00C22470"/>
    <w:rsid w:val="00C2274F"/>
    <w:rsid w:val="00C22A97"/>
    <w:rsid w:val="00C23BA6"/>
    <w:rsid w:val="00C23C0C"/>
    <w:rsid w:val="00C23EFA"/>
    <w:rsid w:val="00C24708"/>
    <w:rsid w:val="00C250AD"/>
    <w:rsid w:val="00C253CF"/>
    <w:rsid w:val="00C2596A"/>
    <w:rsid w:val="00C25AD5"/>
    <w:rsid w:val="00C2614C"/>
    <w:rsid w:val="00C2664A"/>
    <w:rsid w:val="00C26D2E"/>
    <w:rsid w:val="00C26ED0"/>
    <w:rsid w:val="00C27291"/>
    <w:rsid w:val="00C27537"/>
    <w:rsid w:val="00C277D0"/>
    <w:rsid w:val="00C27879"/>
    <w:rsid w:val="00C30D72"/>
    <w:rsid w:val="00C30E66"/>
    <w:rsid w:val="00C30ECA"/>
    <w:rsid w:val="00C3100F"/>
    <w:rsid w:val="00C310D6"/>
    <w:rsid w:val="00C312EE"/>
    <w:rsid w:val="00C31DD4"/>
    <w:rsid w:val="00C328FE"/>
    <w:rsid w:val="00C32A67"/>
    <w:rsid w:val="00C32FDE"/>
    <w:rsid w:val="00C33507"/>
    <w:rsid w:val="00C33B4B"/>
    <w:rsid w:val="00C3450A"/>
    <w:rsid w:val="00C345D2"/>
    <w:rsid w:val="00C3477C"/>
    <w:rsid w:val="00C34B08"/>
    <w:rsid w:val="00C34C74"/>
    <w:rsid w:val="00C350D3"/>
    <w:rsid w:val="00C356E5"/>
    <w:rsid w:val="00C36D8A"/>
    <w:rsid w:val="00C36FF6"/>
    <w:rsid w:val="00C374BA"/>
    <w:rsid w:val="00C379D7"/>
    <w:rsid w:val="00C37A39"/>
    <w:rsid w:val="00C4098C"/>
    <w:rsid w:val="00C4195B"/>
    <w:rsid w:val="00C41A9E"/>
    <w:rsid w:val="00C42B7E"/>
    <w:rsid w:val="00C4311D"/>
    <w:rsid w:val="00C4397F"/>
    <w:rsid w:val="00C43F3B"/>
    <w:rsid w:val="00C4409D"/>
    <w:rsid w:val="00C44CDF"/>
    <w:rsid w:val="00C44E72"/>
    <w:rsid w:val="00C44E82"/>
    <w:rsid w:val="00C44F98"/>
    <w:rsid w:val="00C45968"/>
    <w:rsid w:val="00C45A06"/>
    <w:rsid w:val="00C47281"/>
    <w:rsid w:val="00C4728A"/>
    <w:rsid w:val="00C47885"/>
    <w:rsid w:val="00C47E18"/>
    <w:rsid w:val="00C47E5B"/>
    <w:rsid w:val="00C5005E"/>
    <w:rsid w:val="00C51301"/>
    <w:rsid w:val="00C514F7"/>
    <w:rsid w:val="00C51C56"/>
    <w:rsid w:val="00C51D60"/>
    <w:rsid w:val="00C51FDD"/>
    <w:rsid w:val="00C5200F"/>
    <w:rsid w:val="00C52392"/>
    <w:rsid w:val="00C5365E"/>
    <w:rsid w:val="00C53DBF"/>
    <w:rsid w:val="00C53DC5"/>
    <w:rsid w:val="00C5451F"/>
    <w:rsid w:val="00C5474F"/>
    <w:rsid w:val="00C55057"/>
    <w:rsid w:val="00C55B9F"/>
    <w:rsid w:val="00C55E26"/>
    <w:rsid w:val="00C5608A"/>
    <w:rsid w:val="00C563A6"/>
    <w:rsid w:val="00C56547"/>
    <w:rsid w:val="00C56588"/>
    <w:rsid w:val="00C5662A"/>
    <w:rsid w:val="00C5673F"/>
    <w:rsid w:val="00C567E2"/>
    <w:rsid w:val="00C56F10"/>
    <w:rsid w:val="00C575FB"/>
    <w:rsid w:val="00C5785C"/>
    <w:rsid w:val="00C610D5"/>
    <w:rsid w:val="00C619BF"/>
    <w:rsid w:val="00C61C9C"/>
    <w:rsid w:val="00C61D40"/>
    <w:rsid w:val="00C61E2E"/>
    <w:rsid w:val="00C61E4B"/>
    <w:rsid w:val="00C62088"/>
    <w:rsid w:val="00C62C34"/>
    <w:rsid w:val="00C62E2F"/>
    <w:rsid w:val="00C63B47"/>
    <w:rsid w:val="00C63F53"/>
    <w:rsid w:val="00C64313"/>
    <w:rsid w:val="00C64620"/>
    <w:rsid w:val="00C64768"/>
    <w:rsid w:val="00C6476A"/>
    <w:rsid w:val="00C64A9C"/>
    <w:rsid w:val="00C64BFF"/>
    <w:rsid w:val="00C654C9"/>
    <w:rsid w:val="00C6569E"/>
    <w:rsid w:val="00C65919"/>
    <w:rsid w:val="00C65E40"/>
    <w:rsid w:val="00C66A5D"/>
    <w:rsid w:val="00C66D8C"/>
    <w:rsid w:val="00C6744E"/>
    <w:rsid w:val="00C67549"/>
    <w:rsid w:val="00C70135"/>
    <w:rsid w:val="00C704E9"/>
    <w:rsid w:val="00C71381"/>
    <w:rsid w:val="00C7179C"/>
    <w:rsid w:val="00C7192C"/>
    <w:rsid w:val="00C71C3E"/>
    <w:rsid w:val="00C72EBE"/>
    <w:rsid w:val="00C72F37"/>
    <w:rsid w:val="00C73A95"/>
    <w:rsid w:val="00C7429A"/>
    <w:rsid w:val="00C74564"/>
    <w:rsid w:val="00C74772"/>
    <w:rsid w:val="00C74F67"/>
    <w:rsid w:val="00C75127"/>
    <w:rsid w:val="00C7555D"/>
    <w:rsid w:val="00C757E5"/>
    <w:rsid w:val="00C75D04"/>
    <w:rsid w:val="00C75FF0"/>
    <w:rsid w:val="00C763C9"/>
    <w:rsid w:val="00C767EC"/>
    <w:rsid w:val="00C77133"/>
    <w:rsid w:val="00C77199"/>
    <w:rsid w:val="00C7772C"/>
    <w:rsid w:val="00C778FD"/>
    <w:rsid w:val="00C80057"/>
    <w:rsid w:val="00C80350"/>
    <w:rsid w:val="00C80480"/>
    <w:rsid w:val="00C80A97"/>
    <w:rsid w:val="00C80B30"/>
    <w:rsid w:val="00C80E9F"/>
    <w:rsid w:val="00C8181D"/>
    <w:rsid w:val="00C819F6"/>
    <w:rsid w:val="00C81FAB"/>
    <w:rsid w:val="00C82189"/>
    <w:rsid w:val="00C82232"/>
    <w:rsid w:val="00C822D8"/>
    <w:rsid w:val="00C8254D"/>
    <w:rsid w:val="00C82660"/>
    <w:rsid w:val="00C82913"/>
    <w:rsid w:val="00C829F4"/>
    <w:rsid w:val="00C82B65"/>
    <w:rsid w:val="00C82DA5"/>
    <w:rsid w:val="00C82F2D"/>
    <w:rsid w:val="00C8301D"/>
    <w:rsid w:val="00C8349A"/>
    <w:rsid w:val="00C8360A"/>
    <w:rsid w:val="00C8463A"/>
    <w:rsid w:val="00C847E8"/>
    <w:rsid w:val="00C85568"/>
    <w:rsid w:val="00C85595"/>
    <w:rsid w:val="00C857D5"/>
    <w:rsid w:val="00C85882"/>
    <w:rsid w:val="00C86D6E"/>
    <w:rsid w:val="00C86F9C"/>
    <w:rsid w:val="00C870E2"/>
    <w:rsid w:val="00C87785"/>
    <w:rsid w:val="00C87F1A"/>
    <w:rsid w:val="00C87F6B"/>
    <w:rsid w:val="00C90C26"/>
    <w:rsid w:val="00C91148"/>
    <w:rsid w:val="00C91528"/>
    <w:rsid w:val="00C91CC6"/>
    <w:rsid w:val="00C91EA9"/>
    <w:rsid w:val="00C92AE6"/>
    <w:rsid w:val="00C92D12"/>
    <w:rsid w:val="00C93585"/>
    <w:rsid w:val="00C93BEA"/>
    <w:rsid w:val="00C95009"/>
    <w:rsid w:val="00C950E4"/>
    <w:rsid w:val="00C951B5"/>
    <w:rsid w:val="00C958A1"/>
    <w:rsid w:val="00C960A0"/>
    <w:rsid w:val="00C9667E"/>
    <w:rsid w:val="00C967A5"/>
    <w:rsid w:val="00C96F47"/>
    <w:rsid w:val="00C96FD9"/>
    <w:rsid w:val="00C9705D"/>
    <w:rsid w:val="00C970BC"/>
    <w:rsid w:val="00C972B1"/>
    <w:rsid w:val="00C972CB"/>
    <w:rsid w:val="00C97EF5"/>
    <w:rsid w:val="00CA0498"/>
    <w:rsid w:val="00CA138A"/>
    <w:rsid w:val="00CA1904"/>
    <w:rsid w:val="00CA2455"/>
    <w:rsid w:val="00CA2530"/>
    <w:rsid w:val="00CA2A27"/>
    <w:rsid w:val="00CA2BA8"/>
    <w:rsid w:val="00CA2CCE"/>
    <w:rsid w:val="00CA314F"/>
    <w:rsid w:val="00CA3362"/>
    <w:rsid w:val="00CA33E8"/>
    <w:rsid w:val="00CA3DDE"/>
    <w:rsid w:val="00CA43FD"/>
    <w:rsid w:val="00CA46A9"/>
    <w:rsid w:val="00CA4F04"/>
    <w:rsid w:val="00CA51FE"/>
    <w:rsid w:val="00CA5360"/>
    <w:rsid w:val="00CA5651"/>
    <w:rsid w:val="00CA584A"/>
    <w:rsid w:val="00CA5B9D"/>
    <w:rsid w:val="00CA60A3"/>
    <w:rsid w:val="00CA6449"/>
    <w:rsid w:val="00CA6914"/>
    <w:rsid w:val="00CA695F"/>
    <w:rsid w:val="00CA715C"/>
    <w:rsid w:val="00CA7EF8"/>
    <w:rsid w:val="00CA7F03"/>
    <w:rsid w:val="00CB0385"/>
    <w:rsid w:val="00CB0F76"/>
    <w:rsid w:val="00CB1A2D"/>
    <w:rsid w:val="00CB22F3"/>
    <w:rsid w:val="00CB2755"/>
    <w:rsid w:val="00CB28BE"/>
    <w:rsid w:val="00CB2A4E"/>
    <w:rsid w:val="00CB2CAF"/>
    <w:rsid w:val="00CB2E27"/>
    <w:rsid w:val="00CB2E53"/>
    <w:rsid w:val="00CB34B9"/>
    <w:rsid w:val="00CB39D0"/>
    <w:rsid w:val="00CB3A34"/>
    <w:rsid w:val="00CB3B57"/>
    <w:rsid w:val="00CB3D74"/>
    <w:rsid w:val="00CB4F80"/>
    <w:rsid w:val="00CB6644"/>
    <w:rsid w:val="00CB6667"/>
    <w:rsid w:val="00CB6C20"/>
    <w:rsid w:val="00CB769D"/>
    <w:rsid w:val="00CB7F22"/>
    <w:rsid w:val="00CC02BA"/>
    <w:rsid w:val="00CC0D16"/>
    <w:rsid w:val="00CC149E"/>
    <w:rsid w:val="00CC26D7"/>
    <w:rsid w:val="00CC2D67"/>
    <w:rsid w:val="00CC307B"/>
    <w:rsid w:val="00CC3296"/>
    <w:rsid w:val="00CC3410"/>
    <w:rsid w:val="00CC36BE"/>
    <w:rsid w:val="00CC36E0"/>
    <w:rsid w:val="00CC386B"/>
    <w:rsid w:val="00CC3873"/>
    <w:rsid w:val="00CC43E9"/>
    <w:rsid w:val="00CC489B"/>
    <w:rsid w:val="00CC52C9"/>
    <w:rsid w:val="00CC5D9B"/>
    <w:rsid w:val="00CC6148"/>
    <w:rsid w:val="00CC623E"/>
    <w:rsid w:val="00CC634E"/>
    <w:rsid w:val="00CC6683"/>
    <w:rsid w:val="00CC67CF"/>
    <w:rsid w:val="00CC6F39"/>
    <w:rsid w:val="00CC758B"/>
    <w:rsid w:val="00CC7778"/>
    <w:rsid w:val="00CC7FFA"/>
    <w:rsid w:val="00CD0CCD"/>
    <w:rsid w:val="00CD0D8C"/>
    <w:rsid w:val="00CD18C8"/>
    <w:rsid w:val="00CD1E24"/>
    <w:rsid w:val="00CD2B92"/>
    <w:rsid w:val="00CD2BA3"/>
    <w:rsid w:val="00CD2BCD"/>
    <w:rsid w:val="00CD2F66"/>
    <w:rsid w:val="00CD3193"/>
    <w:rsid w:val="00CD3508"/>
    <w:rsid w:val="00CD381C"/>
    <w:rsid w:val="00CD3A4C"/>
    <w:rsid w:val="00CD46B3"/>
    <w:rsid w:val="00CD46D4"/>
    <w:rsid w:val="00CD4700"/>
    <w:rsid w:val="00CD4770"/>
    <w:rsid w:val="00CD4D16"/>
    <w:rsid w:val="00CD4E6E"/>
    <w:rsid w:val="00CD5152"/>
    <w:rsid w:val="00CD5361"/>
    <w:rsid w:val="00CD6E3C"/>
    <w:rsid w:val="00CD706A"/>
    <w:rsid w:val="00CD76ED"/>
    <w:rsid w:val="00CD7ABA"/>
    <w:rsid w:val="00CD7F29"/>
    <w:rsid w:val="00CE0614"/>
    <w:rsid w:val="00CE0D83"/>
    <w:rsid w:val="00CE0E66"/>
    <w:rsid w:val="00CE10E9"/>
    <w:rsid w:val="00CE1355"/>
    <w:rsid w:val="00CE1B08"/>
    <w:rsid w:val="00CE2910"/>
    <w:rsid w:val="00CE2BBF"/>
    <w:rsid w:val="00CE3352"/>
    <w:rsid w:val="00CE3749"/>
    <w:rsid w:val="00CE3A3D"/>
    <w:rsid w:val="00CE3E51"/>
    <w:rsid w:val="00CE4379"/>
    <w:rsid w:val="00CE45BB"/>
    <w:rsid w:val="00CE4A0A"/>
    <w:rsid w:val="00CE5393"/>
    <w:rsid w:val="00CE5667"/>
    <w:rsid w:val="00CE57AD"/>
    <w:rsid w:val="00CE57F1"/>
    <w:rsid w:val="00CE5AFA"/>
    <w:rsid w:val="00CE5E19"/>
    <w:rsid w:val="00CE5FD3"/>
    <w:rsid w:val="00CE6063"/>
    <w:rsid w:val="00CE606D"/>
    <w:rsid w:val="00CE625C"/>
    <w:rsid w:val="00CE63E6"/>
    <w:rsid w:val="00CE6BDD"/>
    <w:rsid w:val="00CE6E7F"/>
    <w:rsid w:val="00CE6EC3"/>
    <w:rsid w:val="00CE702C"/>
    <w:rsid w:val="00CE768F"/>
    <w:rsid w:val="00CF0163"/>
    <w:rsid w:val="00CF0564"/>
    <w:rsid w:val="00CF06FE"/>
    <w:rsid w:val="00CF0F7B"/>
    <w:rsid w:val="00CF1499"/>
    <w:rsid w:val="00CF21EA"/>
    <w:rsid w:val="00CF2761"/>
    <w:rsid w:val="00CF2D4A"/>
    <w:rsid w:val="00CF2D84"/>
    <w:rsid w:val="00CF3165"/>
    <w:rsid w:val="00CF36BE"/>
    <w:rsid w:val="00CF39CF"/>
    <w:rsid w:val="00CF3A6B"/>
    <w:rsid w:val="00CF3CF5"/>
    <w:rsid w:val="00CF41AB"/>
    <w:rsid w:val="00CF479C"/>
    <w:rsid w:val="00CF4F63"/>
    <w:rsid w:val="00CF51C7"/>
    <w:rsid w:val="00CF51F8"/>
    <w:rsid w:val="00CF6000"/>
    <w:rsid w:val="00CF6562"/>
    <w:rsid w:val="00CF6A73"/>
    <w:rsid w:val="00CF6B40"/>
    <w:rsid w:val="00CF7A7C"/>
    <w:rsid w:val="00CF7CC1"/>
    <w:rsid w:val="00D003F3"/>
    <w:rsid w:val="00D00C0A"/>
    <w:rsid w:val="00D00FB1"/>
    <w:rsid w:val="00D0138D"/>
    <w:rsid w:val="00D0166F"/>
    <w:rsid w:val="00D01D64"/>
    <w:rsid w:val="00D02126"/>
    <w:rsid w:val="00D03012"/>
    <w:rsid w:val="00D0364F"/>
    <w:rsid w:val="00D0389F"/>
    <w:rsid w:val="00D03C87"/>
    <w:rsid w:val="00D03E31"/>
    <w:rsid w:val="00D04128"/>
    <w:rsid w:val="00D0511D"/>
    <w:rsid w:val="00D059EE"/>
    <w:rsid w:val="00D05C93"/>
    <w:rsid w:val="00D065E2"/>
    <w:rsid w:val="00D067D4"/>
    <w:rsid w:val="00D06834"/>
    <w:rsid w:val="00D071AF"/>
    <w:rsid w:val="00D07360"/>
    <w:rsid w:val="00D0740E"/>
    <w:rsid w:val="00D0760E"/>
    <w:rsid w:val="00D07A5A"/>
    <w:rsid w:val="00D07C50"/>
    <w:rsid w:val="00D10624"/>
    <w:rsid w:val="00D113FA"/>
    <w:rsid w:val="00D11D0A"/>
    <w:rsid w:val="00D120D9"/>
    <w:rsid w:val="00D127C2"/>
    <w:rsid w:val="00D12976"/>
    <w:rsid w:val="00D139B9"/>
    <w:rsid w:val="00D14103"/>
    <w:rsid w:val="00D14E65"/>
    <w:rsid w:val="00D15034"/>
    <w:rsid w:val="00D16552"/>
    <w:rsid w:val="00D1662D"/>
    <w:rsid w:val="00D17777"/>
    <w:rsid w:val="00D17B84"/>
    <w:rsid w:val="00D20BEE"/>
    <w:rsid w:val="00D2148F"/>
    <w:rsid w:val="00D21F62"/>
    <w:rsid w:val="00D21FC2"/>
    <w:rsid w:val="00D2299A"/>
    <w:rsid w:val="00D22A4E"/>
    <w:rsid w:val="00D237C6"/>
    <w:rsid w:val="00D24603"/>
    <w:rsid w:val="00D246BB"/>
    <w:rsid w:val="00D24949"/>
    <w:rsid w:val="00D24A1B"/>
    <w:rsid w:val="00D24AA8"/>
    <w:rsid w:val="00D24F40"/>
    <w:rsid w:val="00D2623F"/>
    <w:rsid w:val="00D268F5"/>
    <w:rsid w:val="00D269EA"/>
    <w:rsid w:val="00D26C5C"/>
    <w:rsid w:val="00D26CF6"/>
    <w:rsid w:val="00D26D40"/>
    <w:rsid w:val="00D26E3F"/>
    <w:rsid w:val="00D274DD"/>
    <w:rsid w:val="00D27E60"/>
    <w:rsid w:val="00D308ED"/>
    <w:rsid w:val="00D30AE7"/>
    <w:rsid w:val="00D30FA8"/>
    <w:rsid w:val="00D318B6"/>
    <w:rsid w:val="00D32B36"/>
    <w:rsid w:val="00D32B3C"/>
    <w:rsid w:val="00D33057"/>
    <w:rsid w:val="00D3405F"/>
    <w:rsid w:val="00D3447A"/>
    <w:rsid w:val="00D34820"/>
    <w:rsid w:val="00D34E68"/>
    <w:rsid w:val="00D35E11"/>
    <w:rsid w:val="00D3647A"/>
    <w:rsid w:val="00D36509"/>
    <w:rsid w:val="00D36BED"/>
    <w:rsid w:val="00D36D66"/>
    <w:rsid w:val="00D36D86"/>
    <w:rsid w:val="00D36DA9"/>
    <w:rsid w:val="00D376B2"/>
    <w:rsid w:val="00D37928"/>
    <w:rsid w:val="00D37DE1"/>
    <w:rsid w:val="00D40E65"/>
    <w:rsid w:val="00D41121"/>
    <w:rsid w:val="00D4118E"/>
    <w:rsid w:val="00D413A2"/>
    <w:rsid w:val="00D41806"/>
    <w:rsid w:val="00D42172"/>
    <w:rsid w:val="00D4218A"/>
    <w:rsid w:val="00D42557"/>
    <w:rsid w:val="00D428AA"/>
    <w:rsid w:val="00D433EF"/>
    <w:rsid w:val="00D43737"/>
    <w:rsid w:val="00D45058"/>
    <w:rsid w:val="00D4518C"/>
    <w:rsid w:val="00D4520D"/>
    <w:rsid w:val="00D4529F"/>
    <w:rsid w:val="00D4579E"/>
    <w:rsid w:val="00D45DA7"/>
    <w:rsid w:val="00D46706"/>
    <w:rsid w:val="00D468A4"/>
    <w:rsid w:val="00D46E64"/>
    <w:rsid w:val="00D46EBC"/>
    <w:rsid w:val="00D477A0"/>
    <w:rsid w:val="00D50316"/>
    <w:rsid w:val="00D509EC"/>
    <w:rsid w:val="00D50A34"/>
    <w:rsid w:val="00D5109E"/>
    <w:rsid w:val="00D514EF"/>
    <w:rsid w:val="00D518B2"/>
    <w:rsid w:val="00D518B7"/>
    <w:rsid w:val="00D51E2F"/>
    <w:rsid w:val="00D5267F"/>
    <w:rsid w:val="00D52D91"/>
    <w:rsid w:val="00D53202"/>
    <w:rsid w:val="00D53246"/>
    <w:rsid w:val="00D538CB"/>
    <w:rsid w:val="00D53D9C"/>
    <w:rsid w:val="00D53EFA"/>
    <w:rsid w:val="00D54C40"/>
    <w:rsid w:val="00D55943"/>
    <w:rsid w:val="00D55E99"/>
    <w:rsid w:val="00D564EC"/>
    <w:rsid w:val="00D56DB0"/>
    <w:rsid w:val="00D57E0A"/>
    <w:rsid w:val="00D57F4F"/>
    <w:rsid w:val="00D60DD3"/>
    <w:rsid w:val="00D61AB8"/>
    <w:rsid w:val="00D61BF8"/>
    <w:rsid w:val="00D61D57"/>
    <w:rsid w:val="00D61F3C"/>
    <w:rsid w:val="00D62FA2"/>
    <w:rsid w:val="00D63456"/>
    <w:rsid w:val="00D63C7A"/>
    <w:rsid w:val="00D63D11"/>
    <w:rsid w:val="00D64193"/>
    <w:rsid w:val="00D647FD"/>
    <w:rsid w:val="00D64819"/>
    <w:rsid w:val="00D64956"/>
    <w:rsid w:val="00D66456"/>
    <w:rsid w:val="00D66E01"/>
    <w:rsid w:val="00D66E25"/>
    <w:rsid w:val="00D67348"/>
    <w:rsid w:val="00D67B48"/>
    <w:rsid w:val="00D67D08"/>
    <w:rsid w:val="00D70141"/>
    <w:rsid w:val="00D70D5C"/>
    <w:rsid w:val="00D70E78"/>
    <w:rsid w:val="00D71394"/>
    <w:rsid w:val="00D718C7"/>
    <w:rsid w:val="00D71915"/>
    <w:rsid w:val="00D71FB5"/>
    <w:rsid w:val="00D722D3"/>
    <w:rsid w:val="00D73542"/>
    <w:rsid w:val="00D739AD"/>
    <w:rsid w:val="00D73EBD"/>
    <w:rsid w:val="00D742D8"/>
    <w:rsid w:val="00D7470F"/>
    <w:rsid w:val="00D74897"/>
    <w:rsid w:val="00D748E2"/>
    <w:rsid w:val="00D7537F"/>
    <w:rsid w:val="00D75458"/>
    <w:rsid w:val="00D757A6"/>
    <w:rsid w:val="00D768A9"/>
    <w:rsid w:val="00D76EE0"/>
    <w:rsid w:val="00D7786A"/>
    <w:rsid w:val="00D8005F"/>
    <w:rsid w:val="00D814AC"/>
    <w:rsid w:val="00D81691"/>
    <w:rsid w:val="00D8177D"/>
    <w:rsid w:val="00D81834"/>
    <w:rsid w:val="00D81C76"/>
    <w:rsid w:val="00D82049"/>
    <w:rsid w:val="00D839B8"/>
    <w:rsid w:val="00D83AD3"/>
    <w:rsid w:val="00D83B66"/>
    <w:rsid w:val="00D83CC6"/>
    <w:rsid w:val="00D83EB3"/>
    <w:rsid w:val="00D84692"/>
    <w:rsid w:val="00D8575B"/>
    <w:rsid w:val="00D85877"/>
    <w:rsid w:val="00D85C88"/>
    <w:rsid w:val="00D867B2"/>
    <w:rsid w:val="00D879F1"/>
    <w:rsid w:val="00D87B97"/>
    <w:rsid w:val="00D90420"/>
    <w:rsid w:val="00D90568"/>
    <w:rsid w:val="00D913D0"/>
    <w:rsid w:val="00D91C5D"/>
    <w:rsid w:val="00D91D72"/>
    <w:rsid w:val="00D93927"/>
    <w:rsid w:val="00D93B0A"/>
    <w:rsid w:val="00D93E57"/>
    <w:rsid w:val="00D93EED"/>
    <w:rsid w:val="00D93F30"/>
    <w:rsid w:val="00D949FD"/>
    <w:rsid w:val="00D94A7C"/>
    <w:rsid w:val="00D95896"/>
    <w:rsid w:val="00D958E0"/>
    <w:rsid w:val="00D9672C"/>
    <w:rsid w:val="00D96AC8"/>
    <w:rsid w:val="00D970F8"/>
    <w:rsid w:val="00D97625"/>
    <w:rsid w:val="00D97A7E"/>
    <w:rsid w:val="00D97C65"/>
    <w:rsid w:val="00DA1D99"/>
    <w:rsid w:val="00DA1EB0"/>
    <w:rsid w:val="00DA2966"/>
    <w:rsid w:val="00DA29CB"/>
    <w:rsid w:val="00DA2C72"/>
    <w:rsid w:val="00DA2DC3"/>
    <w:rsid w:val="00DA2EB2"/>
    <w:rsid w:val="00DA36DF"/>
    <w:rsid w:val="00DA4282"/>
    <w:rsid w:val="00DA4A33"/>
    <w:rsid w:val="00DA54BF"/>
    <w:rsid w:val="00DA6D8D"/>
    <w:rsid w:val="00DA73A3"/>
    <w:rsid w:val="00DA7EB3"/>
    <w:rsid w:val="00DB031D"/>
    <w:rsid w:val="00DB06AA"/>
    <w:rsid w:val="00DB0886"/>
    <w:rsid w:val="00DB1834"/>
    <w:rsid w:val="00DB1F7F"/>
    <w:rsid w:val="00DB2983"/>
    <w:rsid w:val="00DB37CF"/>
    <w:rsid w:val="00DB3A5F"/>
    <w:rsid w:val="00DB3E1E"/>
    <w:rsid w:val="00DB45ED"/>
    <w:rsid w:val="00DB49C6"/>
    <w:rsid w:val="00DB4D49"/>
    <w:rsid w:val="00DB518B"/>
    <w:rsid w:val="00DB5351"/>
    <w:rsid w:val="00DB59B9"/>
    <w:rsid w:val="00DB5B99"/>
    <w:rsid w:val="00DB6534"/>
    <w:rsid w:val="00DB69A9"/>
    <w:rsid w:val="00DB76B6"/>
    <w:rsid w:val="00DB79C2"/>
    <w:rsid w:val="00DB7A5B"/>
    <w:rsid w:val="00DB7C6F"/>
    <w:rsid w:val="00DB7CF9"/>
    <w:rsid w:val="00DC0452"/>
    <w:rsid w:val="00DC1257"/>
    <w:rsid w:val="00DC1416"/>
    <w:rsid w:val="00DC1F9D"/>
    <w:rsid w:val="00DC27A2"/>
    <w:rsid w:val="00DC2874"/>
    <w:rsid w:val="00DC2C4C"/>
    <w:rsid w:val="00DC2D09"/>
    <w:rsid w:val="00DC2E37"/>
    <w:rsid w:val="00DC3242"/>
    <w:rsid w:val="00DC38B3"/>
    <w:rsid w:val="00DC3DC0"/>
    <w:rsid w:val="00DC46F4"/>
    <w:rsid w:val="00DC4E90"/>
    <w:rsid w:val="00DC51BC"/>
    <w:rsid w:val="00DC5AC5"/>
    <w:rsid w:val="00DC5B2B"/>
    <w:rsid w:val="00DC5CEF"/>
    <w:rsid w:val="00DC6357"/>
    <w:rsid w:val="00DC6D39"/>
    <w:rsid w:val="00DC6DE3"/>
    <w:rsid w:val="00DC6FB4"/>
    <w:rsid w:val="00DC714E"/>
    <w:rsid w:val="00DC751B"/>
    <w:rsid w:val="00DC7C60"/>
    <w:rsid w:val="00DD0215"/>
    <w:rsid w:val="00DD02B1"/>
    <w:rsid w:val="00DD0B7B"/>
    <w:rsid w:val="00DD0EC9"/>
    <w:rsid w:val="00DD1526"/>
    <w:rsid w:val="00DD17AF"/>
    <w:rsid w:val="00DD1A39"/>
    <w:rsid w:val="00DD2103"/>
    <w:rsid w:val="00DD223D"/>
    <w:rsid w:val="00DD265B"/>
    <w:rsid w:val="00DD2F24"/>
    <w:rsid w:val="00DD318D"/>
    <w:rsid w:val="00DD3238"/>
    <w:rsid w:val="00DD3283"/>
    <w:rsid w:val="00DD32B2"/>
    <w:rsid w:val="00DD3668"/>
    <w:rsid w:val="00DD36B9"/>
    <w:rsid w:val="00DD3BF0"/>
    <w:rsid w:val="00DD4CF2"/>
    <w:rsid w:val="00DD4DB2"/>
    <w:rsid w:val="00DD5736"/>
    <w:rsid w:val="00DD58C3"/>
    <w:rsid w:val="00DD5940"/>
    <w:rsid w:val="00DD59C8"/>
    <w:rsid w:val="00DD5E2D"/>
    <w:rsid w:val="00DD6033"/>
    <w:rsid w:val="00DD6CB4"/>
    <w:rsid w:val="00DD6E0C"/>
    <w:rsid w:val="00DD715B"/>
    <w:rsid w:val="00DD7205"/>
    <w:rsid w:val="00DD7854"/>
    <w:rsid w:val="00DD799A"/>
    <w:rsid w:val="00DE1532"/>
    <w:rsid w:val="00DE1761"/>
    <w:rsid w:val="00DE1B7B"/>
    <w:rsid w:val="00DE29BF"/>
    <w:rsid w:val="00DE2FAC"/>
    <w:rsid w:val="00DE3826"/>
    <w:rsid w:val="00DE3C95"/>
    <w:rsid w:val="00DE4146"/>
    <w:rsid w:val="00DE4383"/>
    <w:rsid w:val="00DE4445"/>
    <w:rsid w:val="00DE4B08"/>
    <w:rsid w:val="00DE4D9C"/>
    <w:rsid w:val="00DE4F0C"/>
    <w:rsid w:val="00DE503C"/>
    <w:rsid w:val="00DE5C75"/>
    <w:rsid w:val="00DE6064"/>
    <w:rsid w:val="00DE64B0"/>
    <w:rsid w:val="00DE698C"/>
    <w:rsid w:val="00DE6A40"/>
    <w:rsid w:val="00DE7037"/>
    <w:rsid w:val="00DE72A1"/>
    <w:rsid w:val="00DE7C0B"/>
    <w:rsid w:val="00DF022D"/>
    <w:rsid w:val="00DF0443"/>
    <w:rsid w:val="00DF1663"/>
    <w:rsid w:val="00DF1D67"/>
    <w:rsid w:val="00DF2277"/>
    <w:rsid w:val="00DF2340"/>
    <w:rsid w:val="00DF2790"/>
    <w:rsid w:val="00DF29B6"/>
    <w:rsid w:val="00DF2CA1"/>
    <w:rsid w:val="00DF2E12"/>
    <w:rsid w:val="00DF3150"/>
    <w:rsid w:val="00DF4533"/>
    <w:rsid w:val="00DF514A"/>
    <w:rsid w:val="00DF53F1"/>
    <w:rsid w:val="00DF577E"/>
    <w:rsid w:val="00DF5D95"/>
    <w:rsid w:val="00DF6052"/>
    <w:rsid w:val="00DF6690"/>
    <w:rsid w:val="00DF672E"/>
    <w:rsid w:val="00DF6804"/>
    <w:rsid w:val="00DF7266"/>
    <w:rsid w:val="00DF7683"/>
    <w:rsid w:val="00DF7998"/>
    <w:rsid w:val="00E01279"/>
    <w:rsid w:val="00E012E6"/>
    <w:rsid w:val="00E0204A"/>
    <w:rsid w:val="00E0243E"/>
    <w:rsid w:val="00E02796"/>
    <w:rsid w:val="00E02BF6"/>
    <w:rsid w:val="00E0335A"/>
    <w:rsid w:val="00E03430"/>
    <w:rsid w:val="00E0343E"/>
    <w:rsid w:val="00E0358D"/>
    <w:rsid w:val="00E0379C"/>
    <w:rsid w:val="00E03B42"/>
    <w:rsid w:val="00E04323"/>
    <w:rsid w:val="00E04593"/>
    <w:rsid w:val="00E04885"/>
    <w:rsid w:val="00E051AC"/>
    <w:rsid w:val="00E0591F"/>
    <w:rsid w:val="00E05BCD"/>
    <w:rsid w:val="00E05E9F"/>
    <w:rsid w:val="00E06820"/>
    <w:rsid w:val="00E0683E"/>
    <w:rsid w:val="00E06ABA"/>
    <w:rsid w:val="00E070A2"/>
    <w:rsid w:val="00E07E91"/>
    <w:rsid w:val="00E07E96"/>
    <w:rsid w:val="00E113B1"/>
    <w:rsid w:val="00E11853"/>
    <w:rsid w:val="00E1278F"/>
    <w:rsid w:val="00E12C8F"/>
    <w:rsid w:val="00E13BF7"/>
    <w:rsid w:val="00E1426B"/>
    <w:rsid w:val="00E14561"/>
    <w:rsid w:val="00E147F0"/>
    <w:rsid w:val="00E1496A"/>
    <w:rsid w:val="00E15236"/>
    <w:rsid w:val="00E15DFA"/>
    <w:rsid w:val="00E169AA"/>
    <w:rsid w:val="00E16AB3"/>
    <w:rsid w:val="00E17B13"/>
    <w:rsid w:val="00E17E48"/>
    <w:rsid w:val="00E21116"/>
    <w:rsid w:val="00E21554"/>
    <w:rsid w:val="00E219F5"/>
    <w:rsid w:val="00E21A4B"/>
    <w:rsid w:val="00E22410"/>
    <w:rsid w:val="00E22B23"/>
    <w:rsid w:val="00E22CF2"/>
    <w:rsid w:val="00E22E96"/>
    <w:rsid w:val="00E23A34"/>
    <w:rsid w:val="00E240B3"/>
    <w:rsid w:val="00E241A3"/>
    <w:rsid w:val="00E24A7F"/>
    <w:rsid w:val="00E2573D"/>
    <w:rsid w:val="00E25B82"/>
    <w:rsid w:val="00E25F83"/>
    <w:rsid w:val="00E2613D"/>
    <w:rsid w:val="00E2656A"/>
    <w:rsid w:val="00E27331"/>
    <w:rsid w:val="00E30425"/>
    <w:rsid w:val="00E30B55"/>
    <w:rsid w:val="00E31233"/>
    <w:rsid w:val="00E31D14"/>
    <w:rsid w:val="00E32ED5"/>
    <w:rsid w:val="00E32EE6"/>
    <w:rsid w:val="00E332B6"/>
    <w:rsid w:val="00E33E47"/>
    <w:rsid w:val="00E34221"/>
    <w:rsid w:val="00E34293"/>
    <w:rsid w:val="00E3542D"/>
    <w:rsid w:val="00E35478"/>
    <w:rsid w:val="00E355F9"/>
    <w:rsid w:val="00E3659C"/>
    <w:rsid w:val="00E3747F"/>
    <w:rsid w:val="00E37618"/>
    <w:rsid w:val="00E4080C"/>
    <w:rsid w:val="00E412D0"/>
    <w:rsid w:val="00E413EE"/>
    <w:rsid w:val="00E419D5"/>
    <w:rsid w:val="00E42127"/>
    <w:rsid w:val="00E436BB"/>
    <w:rsid w:val="00E44574"/>
    <w:rsid w:val="00E44690"/>
    <w:rsid w:val="00E45081"/>
    <w:rsid w:val="00E458A0"/>
    <w:rsid w:val="00E464FC"/>
    <w:rsid w:val="00E46D85"/>
    <w:rsid w:val="00E50AF4"/>
    <w:rsid w:val="00E51BE8"/>
    <w:rsid w:val="00E5240D"/>
    <w:rsid w:val="00E52BAC"/>
    <w:rsid w:val="00E52C56"/>
    <w:rsid w:val="00E5370A"/>
    <w:rsid w:val="00E537FE"/>
    <w:rsid w:val="00E53DF1"/>
    <w:rsid w:val="00E543B4"/>
    <w:rsid w:val="00E54518"/>
    <w:rsid w:val="00E54640"/>
    <w:rsid w:val="00E55063"/>
    <w:rsid w:val="00E55E25"/>
    <w:rsid w:val="00E561C9"/>
    <w:rsid w:val="00E56322"/>
    <w:rsid w:val="00E563BE"/>
    <w:rsid w:val="00E565D4"/>
    <w:rsid w:val="00E56C70"/>
    <w:rsid w:val="00E56C80"/>
    <w:rsid w:val="00E572A0"/>
    <w:rsid w:val="00E57608"/>
    <w:rsid w:val="00E57BF7"/>
    <w:rsid w:val="00E57FE9"/>
    <w:rsid w:val="00E60982"/>
    <w:rsid w:val="00E609E0"/>
    <w:rsid w:val="00E60A61"/>
    <w:rsid w:val="00E619A6"/>
    <w:rsid w:val="00E62C62"/>
    <w:rsid w:val="00E63ED0"/>
    <w:rsid w:val="00E642FC"/>
    <w:rsid w:val="00E6472C"/>
    <w:rsid w:val="00E6538A"/>
    <w:rsid w:val="00E654C1"/>
    <w:rsid w:val="00E65D97"/>
    <w:rsid w:val="00E65F44"/>
    <w:rsid w:val="00E66200"/>
    <w:rsid w:val="00E66881"/>
    <w:rsid w:val="00E670A4"/>
    <w:rsid w:val="00E6719C"/>
    <w:rsid w:val="00E67295"/>
    <w:rsid w:val="00E673B4"/>
    <w:rsid w:val="00E6776F"/>
    <w:rsid w:val="00E67ABD"/>
    <w:rsid w:val="00E67FC3"/>
    <w:rsid w:val="00E70149"/>
    <w:rsid w:val="00E70621"/>
    <w:rsid w:val="00E70A03"/>
    <w:rsid w:val="00E70DC3"/>
    <w:rsid w:val="00E71315"/>
    <w:rsid w:val="00E715D7"/>
    <w:rsid w:val="00E71B13"/>
    <w:rsid w:val="00E7216C"/>
    <w:rsid w:val="00E72366"/>
    <w:rsid w:val="00E7297C"/>
    <w:rsid w:val="00E72A5A"/>
    <w:rsid w:val="00E73354"/>
    <w:rsid w:val="00E73675"/>
    <w:rsid w:val="00E73C1B"/>
    <w:rsid w:val="00E755FA"/>
    <w:rsid w:val="00E7574C"/>
    <w:rsid w:val="00E75F8F"/>
    <w:rsid w:val="00E76AFE"/>
    <w:rsid w:val="00E7754F"/>
    <w:rsid w:val="00E775AB"/>
    <w:rsid w:val="00E77892"/>
    <w:rsid w:val="00E801E3"/>
    <w:rsid w:val="00E808F3"/>
    <w:rsid w:val="00E8282B"/>
    <w:rsid w:val="00E833EA"/>
    <w:rsid w:val="00E838FF"/>
    <w:rsid w:val="00E83B2A"/>
    <w:rsid w:val="00E83DCB"/>
    <w:rsid w:val="00E8485F"/>
    <w:rsid w:val="00E8500C"/>
    <w:rsid w:val="00E851F9"/>
    <w:rsid w:val="00E8540C"/>
    <w:rsid w:val="00E85A25"/>
    <w:rsid w:val="00E85DFD"/>
    <w:rsid w:val="00E85E3F"/>
    <w:rsid w:val="00E86313"/>
    <w:rsid w:val="00E8793A"/>
    <w:rsid w:val="00E87A99"/>
    <w:rsid w:val="00E87E1C"/>
    <w:rsid w:val="00E87EEC"/>
    <w:rsid w:val="00E905F1"/>
    <w:rsid w:val="00E90993"/>
    <w:rsid w:val="00E90A39"/>
    <w:rsid w:val="00E91847"/>
    <w:rsid w:val="00E9220B"/>
    <w:rsid w:val="00E923BE"/>
    <w:rsid w:val="00E9242D"/>
    <w:rsid w:val="00E92DF0"/>
    <w:rsid w:val="00E93882"/>
    <w:rsid w:val="00E93A97"/>
    <w:rsid w:val="00E93B4E"/>
    <w:rsid w:val="00E93E4C"/>
    <w:rsid w:val="00E948B4"/>
    <w:rsid w:val="00E9490F"/>
    <w:rsid w:val="00E94B55"/>
    <w:rsid w:val="00E94F23"/>
    <w:rsid w:val="00E95068"/>
    <w:rsid w:val="00E95148"/>
    <w:rsid w:val="00E957EF"/>
    <w:rsid w:val="00E95AB7"/>
    <w:rsid w:val="00E95D5D"/>
    <w:rsid w:val="00E9640C"/>
    <w:rsid w:val="00E96614"/>
    <w:rsid w:val="00E966C9"/>
    <w:rsid w:val="00E97793"/>
    <w:rsid w:val="00E97950"/>
    <w:rsid w:val="00EA00D1"/>
    <w:rsid w:val="00EA0850"/>
    <w:rsid w:val="00EA14B9"/>
    <w:rsid w:val="00EA159A"/>
    <w:rsid w:val="00EA1A20"/>
    <w:rsid w:val="00EA26AC"/>
    <w:rsid w:val="00EA29B9"/>
    <w:rsid w:val="00EA2C26"/>
    <w:rsid w:val="00EA3734"/>
    <w:rsid w:val="00EA387C"/>
    <w:rsid w:val="00EA3CB0"/>
    <w:rsid w:val="00EA3EDA"/>
    <w:rsid w:val="00EA3EEB"/>
    <w:rsid w:val="00EA446E"/>
    <w:rsid w:val="00EA4C42"/>
    <w:rsid w:val="00EA52CA"/>
    <w:rsid w:val="00EA53B6"/>
    <w:rsid w:val="00EA54A1"/>
    <w:rsid w:val="00EA648A"/>
    <w:rsid w:val="00EA64E0"/>
    <w:rsid w:val="00EA6558"/>
    <w:rsid w:val="00EA67E5"/>
    <w:rsid w:val="00EA775E"/>
    <w:rsid w:val="00EB0471"/>
    <w:rsid w:val="00EB0667"/>
    <w:rsid w:val="00EB0C05"/>
    <w:rsid w:val="00EB0D84"/>
    <w:rsid w:val="00EB170B"/>
    <w:rsid w:val="00EB18B9"/>
    <w:rsid w:val="00EB199B"/>
    <w:rsid w:val="00EB1C16"/>
    <w:rsid w:val="00EB1CAC"/>
    <w:rsid w:val="00EB22DA"/>
    <w:rsid w:val="00EB24CA"/>
    <w:rsid w:val="00EB2D84"/>
    <w:rsid w:val="00EB307C"/>
    <w:rsid w:val="00EB309E"/>
    <w:rsid w:val="00EB3A6A"/>
    <w:rsid w:val="00EB3C8C"/>
    <w:rsid w:val="00EB3C9C"/>
    <w:rsid w:val="00EB3CA4"/>
    <w:rsid w:val="00EB46B2"/>
    <w:rsid w:val="00EB48EC"/>
    <w:rsid w:val="00EB5255"/>
    <w:rsid w:val="00EB5436"/>
    <w:rsid w:val="00EB5C47"/>
    <w:rsid w:val="00EB5FAE"/>
    <w:rsid w:val="00EB66FB"/>
    <w:rsid w:val="00EB6885"/>
    <w:rsid w:val="00EB6CBE"/>
    <w:rsid w:val="00EB6F6A"/>
    <w:rsid w:val="00EB7153"/>
    <w:rsid w:val="00EB7222"/>
    <w:rsid w:val="00EC019D"/>
    <w:rsid w:val="00EC0273"/>
    <w:rsid w:val="00EC0A74"/>
    <w:rsid w:val="00EC195F"/>
    <w:rsid w:val="00EC1CFD"/>
    <w:rsid w:val="00EC2AFA"/>
    <w:rsid w:val="00EC33B5"/>
    <w:rsid w:val="00EC3DD7"/>
    <w:rsid w:val="00EC473F"/>
    <w:rsid w:val="00EC544E"/>
    <w:rsid w:val="00EC5605"/>
    <w:rsid w:val="00EC562C"/>
    <w:rsid w:val="00EC5BD8"/>
    <w:rsid w:val="00EC5D4B"/>
    <w:rsid w:val="00EC5F21"/>
    <w:rsid w:val="00EC62D4"/>
    <w:rsid w:val="00EC736A"/>
    <w:rsid w:val="00EC7FE9"/>
    <w:rsid w:val="00ED00F3"/>
    <w:rsid w:val="00ED0639"/>
    <w:rsid w:val="00ED0AAB"/>
    <w:rsid w:val="00ED0E64"/>
    <w:rsid w:val="00ED1498"/>
    <w:rsid w:val="00ED14B6"/>
    <w:rsid w:val="00ED1820"/>
    <w:rsid w:val="00ED1D4F"/>
    <w:rsid w:val="00ED3097"/>
    <w:rsid w:val="00ED32AC"/>
    <w:rsid w:val="00ED3351"/>
    <w:rsid w:val="00ED3A4B"/>
    <w:rsid w:val="00ED3B79"/>
    <w:rsid w:val="00ED3FA2"/>
    <w:rsid w:val="00ED443A"/>
    <w:rsid w:val="00ED44C4"/>
    <w:rsid w:val="00ED4C9C"/>
    <w:rsid w:val="00ED4E8F"/>
    <w:rsid w:val="00ED5B93"/>
    <w:rsid w:val="00ED66F9"/>
    <w:rsid w:val="00ED6BB8"/>
    <w:rsid w:val="00ED76C6"/>
    <w:rsid w:val="00ED786E"/>
    <w:rsid w:val="00ED7A84"/>
    <w:rsid w:val="00EE0C62"/>
    <w:rsid w:val="00EE0F45"/>
    <w:rsid w:val="00EE13EE"/>
    <w:rsid w:val="00EE1E3C"/>
    <w:rsid w:val="00EE1FE1"/>
    <w:rsid w:val="00EE32CC"/>
    <w:rsid w:val="00EE3452"/>
    <w:rsid w:val="00EE379C"/>
    <w:rsid w:val="00EE44EC"/>
    <w:rsid w:val="00EE4CDA"/>
    <w:rsid w:val="00EE50EA"/>
    <w:rsid w:val="00EE6617"/>
    <w:rsid w:val="00EE664E"/>
    <w:rsid w:val="00EE6C56"/>
    <w:rsid w:val="00EE737B"/>
    <w:rsid w:val="00EE7391"/>
    <w:rsid w:val="00EE7801"/>
    <w:rsid w:val="00EE7D49"/>
    <w:rsid w:val="00EF0147"/>
    <w:rsid w:val="00EF0E93"/>
    <w:rsid w:val="00EF1361"/>
    <w:rsid w:val="00EF1496"/>
    <w:rsid w:val="00EF213D"/>
    <w:rsid w:val="00EF2250"/>
    <w:rsid w:val="00EF330E"/>
    <w:rsid w:val="00EF3849"/>
    <w:rsid w:val="00EF388E"/>
    <w:rsid w:val="00EF3E16"/>
    <w:rsid w:val="00EF4755"/>
    <w:rsid w:val="00EF5759"/>
    <w:rsid w:val="00EF57D8"/>
    <w:rsid w:val="00EF5AA6"/>
    <w:rsid w:val="00EF6663"/>
    <w:rsid w:val="00EF7135"/>
    <w:rsid w:val="00EF7274"/>
    <w:rsid w:val="00EF740D"/>
    <w:rsid w:val="00EF7987"/>
    <w:rsid w:val="00F00223"/>
    <w:rsid w:val="00F00BC4"/>
    <w:rsid w:val="00F0142E"/>
    <w:rsid w:val="00F01564"/>
    <w:rsid w:val="00F0195A"/>
    <w:rsid w:val="00F01980"/>
    <w:rsid w:val="00F027DB"/>
    <w:rsid w:val="00F029BE"/>
    <w:rsid w:val="00F036FB"/>
    <w:rsid w:val="00F03E89"/>
    <w:rsid w:val="00F043F8"/>
    <w:rsid w:val="00F0498E"/>
    <w:rsid w:val="00F04D2F"/>
    <w:rsid w:val="00F04DD1"/>
    <w:rsid w:val="00F05704"/>
    <w:rsid w:val="00F05707"/>
    <w:rsid w:val="00F05E0B"/>
    <w:rsid w:val="00F06417"/>
    <w:rsid w:val="00F06AFC"/>
    <w:rsid w:val="00F071DB"/>
    <w:rsid w:val="00F07ACD"/>
    <w:rsid w:val="00F103F0"/>
    <w:rsid w:val="00F10CFF"/>
    <w:rsid w:val="00F119FC"/>
    <w:rsid w:val="00F11B12"/>
    <w:rsid w:val="00F11E95"/>
    <w:rsid w:val="00F11F54"/>
    <w:rsid w:val="00F126FF"/>
    <w:rsid w:val="00F140E5"/>
    <w:rsid w:val="00F145B0"/>
    <w:rsid w:val="00F14A7A"/>
    <w:rsid w:val="00F14BAD"/>
    <w:rsid w:val="00F15147"/>
    <w:rsid w:val="00F159D9"/>
    <w:rsid w:val="00F15D17"/>
    <w:rsid w:val="00F16DF1"/>
    <w:rsid w:val="00F17D31"/>
    <w:rsid w:val="00F203F3"/>
    <w:rsid w:val="00F20885"/>
    <w:rsid w:val="00F20AC2"/>
    <w:rsid w:val="00F2188F"/>
    <w:rsid w:val="00F21EE1"/>
    <w:rsid w:val="00F22984"/>
    <w:rsid w:val="00F22985"/>
    <w:rsid w:val="00F2299A"/>
    <w:rsid w:val="00F22FDC"/>
    <w:rsid w:val="00F23627"/>
    <w:rsid w:val="00F236D6"/>
    <w:rsid w:val="00F238DD"/>
    <w:rsid w:val="00F24052"/>
    <w:rsid w:val="00F2408C"/>
    <w:rsid w:val="00F2457A"/>
    <w:rsid w:val="00F25637"/>
    <w:rsid w:val="00F25963"/>
    <w:rsid w:val="00F25E36"/>
    <w:rsid w:val="00F25EEA"/>
    <w:rsid w:val="00F26217"/>
    <w:rsid w:val="00F26B07"/>
    <w:rsid w:val="00F2703C"/>
    <w:rsid w:val="00F27081"/>
    <w:rsid w:val="00F2730A"/>
    <w:rsid w:val="00F27362"/>
    <w:rsid w:val="00F275ED"/>
    <w:rsid w:val="00F277B6"/>
    <w:rsid w:val="00F3001C"/>
    <w:rsid w:val="00F30476"/>
    <w:rsid w:val="00F31FAE"/>
    <w:rsid w:val="00F322AC"/>
    <w:rsid w:val="00F327F1"/>
    <w:rsid w:val="00F32807"/>
    <w:rsid w:val="00F3297C"/>
    <w:rsid w:val="00F32AB6"/>
    <w:rsid w:val="00F33198"/>
    <w:rsid w:val="00F33425"/>
    <w:rsid w:val="00F3383E"/>
    <w:rsid w:val="00F33A43"/>
    <w:rsid w:val="00F33B51"/>
    <w:rsid w:val="00F34EBB"/>
    <w:rsid w:val="00F34F3C"/>
    <w:rsid w:val="00F3546D"/>
    <w:rsid w:val="00F35C76"/>
    <w:rsid w:val="00F35DA7"/>
    <w:rsid w:val="00F3639D"/>
    <w:rsid w:val="00F36424"/>
    <w:rsid w:val="00F369C3"/>
    <w:rsid w:val="00F37376"/>
    <w:rsid w:val="00F37423"/>
    <w:rsid w:val="00F377FC"/>
    <w:rsid w:val="00F37E1B"/>
    <w:rsid w:val="00F41C33"/>
    <w:rsid w:val="00F42728"/>
    <w:rsid w:val="00F427BA"/>
    <w:rsid w:val="00F4329D"/>
    <w:rsid w:val="00F443D1"/>
    <w:rsid w:val="00F44630"/>
    <w:rsid w:val="00F44EE0"/>
    <w:rsid w:val="00F45268"/>
    <w:rsid w:val="00F454CC"/>
    <w:rsid w:val="00F455BB"/>
    <w:rsid w:val="00F456AE"/>
    <w:rsid w:val="00F45872"/>
    <w:rsid w:val="00F45F46"/>
    <w:rsid w:val="00F465A7"/>
    <w:rsid w:val="00F470E2"/>
    <w:rsid w:val="00F472E1"/>
    <w:rsid w:val="00F47660"/>
    <w:rsid w:val="00F47BD3"/>
    <w:rsid w:val="00F507D0"/>
    <w:rsid w:val="00F508E4"/>
    <w:rsid w:val="00F50B7C"/>
    <w:rsid w:val="00F511FF"/>
    <w:rsid w:val="00F51AB6"/>
    <w:rsid w:val="00F52183"/>
    <w:rsid w:val="00F5277B"/>
    <w:rsid w:val="00F539D7"/>
    <w:rsid w:val="00F54417"/>
    <w:rsid w:val="00F54616"/>
    <w:rsid w:val="00F547ED"/>
    <w:rsid w:val="00F54B2C"/>
    <w:rsid w:val="00F550E6"/>
    <w:rsid w:val="00F5554F"/>
    <w:rsid w:val="00F56269"/>
    <w:rsid w:val="00F56862"/>
    <w:rsid w:val="00F56FE7"/>
    <w:rsid w:val="00F57554"/>
    <w:rsid w:val="00F575C8"/>
    <w:rsid w:val="00F576D4"/>
    <w:rsid w:val="00F57AB9"/>
    <w:rsid w:val="00F60702"/>
    <w:rsid w:val="00F61797"/>
    <w:rsid w:val="00F619CD"/>
    <w:rsid w:val="00F624F9"/>
    <w:rsid w:val="00F626E0"/>
    <w:rsid w:val="00F62BBD"/>
    <w:rsid w:val="00F62C1F"/>
    <w:rsid w:val="00F62D9B"/>
    <w:rsid w:val="00F63116"/>
    <w:rsid w:val="00F63945"/>
    <w:rsid w:val="00F640BF"/>
    <w:rsid w:val="00F64618"/>
    <w:rsid w:val="00F6528F"/>
    <w:rsid w:val="00F65690"/>
    <w:rsid w:val="00F65939"/>
    <w:rsid w:val="00F65AEB"/>
    <w:rsid w:val="00F65EC2"/>
    <w:rsid w:val="00F6615A"/>
    <w:rsid w:val="00F6663D"/>
    <w:rsid w:val="00F66CF7"/>
    <w:rsid w:val="00F67102"/>
    <w:rsid w:val="00F67BF7"/>
    <w:rsid w:val="00F703CF"/>
    <w:rsid w:val="00F704EC"/>
    <w:rsid w:val="00F708D9"/>
    <w:rsid w:val="00F70986"/>
    <w:rsid w:val="00F70B95"/>
    <w:rsid w:val="00F70FA1"/>
    <w:rsid w:val="00F715E5"/>
    <w:rsid w:val="00F72312"/>
    <w:rsid w:val="00F727EB"/>
    <w:rsid w:val="00F72B72"/>
    <w:rsid w:val="00F73251"/>
    <w:rsid w:val="00F73A98"/>
    <w:rsid w:val="00F73E29"/>
    <w:rsid w:val="00F74345"/>
    <w:rsid w:val="00F744AD"/>
    <w:rsid w:val="00F7491F"/>
    <w:rsid w:val="00F74E4E"/>
    <w:rsid w:val="00F75AA7"/>
    <w:rsid w:val="00F75ADF"/>
    <w:rsid w:val="00F75EF6"/>
    <w:rsid w:val="00F75F53"/>
    <w:rsid w:val="00F762F9"/>
    <w:rsid w:val="00F76621"/>
    <w:rsid w:val="00F766A4"/>
    <w:rsid w:val="00F76C97"/>
    <w:rsid w:val="00F7710E"/>
    <w:rsid w:val="00F77566"/>
    <w:rsid w:val="00F77AF2"/>
    <w:rsid w:val="00F77DC4"/>
    <w:rsid w:val="00F800C5"/>
    <w:rsid w:val="00F80A0A"/>
    <w:rsid w:val="00F81559"/>
    <w:rsid w:val="00F8193A"/>
    <w:rsid w:val="00F81BA2"/>
    <w:rsid w:val="00F81C25"/>
    <w:rsid w:val="00F81F88"/>
    <w:rsid w:val="00F822FC"/>
    <w:rsid w:val="00F825C6"/>
    <w:rsid w:val="00F8271C"/>
    <w:rsid w:val="00F8280C"/>
    <w:rsid w:val="00F82B19"/>
    <w:rsid w:val="00F82B9F"/>
    <w:rsid w:val="00F83B0F"/>
    <w:rsid w:val="00F83D88"/>
    <w:rsid w:val="00F83DE5"/>
    <w:rsid w:val="00F84244"/>
    <w:rsid w:val="00F84377"/>
    <w:rsid w:val="00F84800"/>
    <w:rsid w:val="00F84986"/>
    <w:rsid w:val="00F856D3"/>
    <w:rsid w:val="00F85A67"/>
    <w:rsid w:val="00F85C6A"/>
    <w:rsid w:val="00F861A1"/>
    <w:rsid w:val="00F866E2"/>
    <w:rsid w:val="00F870C8"/>
    <w:rsid w:val="00F87A99"/>
    <w:rsid w:val="00F87CBA"/>
    <w:rsid w:val="00F903B1"/>
    <w:rsid w:val="00F90A40"/>
    <w:rsid w:val="00F90CA7"/>
    <w:rsid w:val="00F9130C"/>
    <w:rsid w:val="00F915F0"/>
    <w:rsid w:val="00F9212D"/>
    <w:rsid w:val="00F92816"/>
    <w:rsid w:val="00F92EB9"/>
    <w:rsid w:val="00F9335D"/>
    <w:rsid w:val="00F93491"/>
    <w:rsid w:val="00F9377D"/>
    <w:rsid w:val="00F937EA"/>
    <w:rsid w:val="00F938D6"/>
    <w:rsid w:val="00F94058"/>
    <w:rsid w:val="00F94757"/>
    <w:rsid w:val="00F94DA8"/>
    <w:rsid w:val="00F95163"/>
    <w:rsid w:val="00F95707"/>
    <w:rsid w:val="00F957F4"/>
    <w:rsid w:val="00F95D12"/>
    <w:rsid w:val="00F95FE2"/>
    <w:rsid w:val="00F965DA"/>
    <w:rsid w:val="00F965E6"/>
    <w:rsid w:val="00F97011"/>
    <w:rsid w:val="00F975BD"/>
    <w:rsid w:val="00F97764"/>
    <w:rsid w:val="00FA0085"/>
    <w:rsid w:val="00FA01AB"/>
    <w:rsid w:val="00FA057B"/>
    <w:rsid w:val="00FA05FB"/>
    <w:rsid w:val="00FA0783"/>
    <w:rsid w:val="00FA0FFB"/>
    <w:rsid w:val="00FA113D"/>
    <w:rsid w:val="00FA1576"/>
    <w:rsid w:val="00FA166E"/>
    <w:rsid w:val="00FA1BC1"/>
    <w:rsid w:val="00FA1D22"/>
    <w:rsid w:val="00FA2C85"/>
    <w:rsid w:val="00FA2E17"/>
    <w:rsid w:val="00FA3108"/>
    <w:rsid w:val="00FA327F"/>
    <w:rsid w:val="00FA33E9"/>
    <w:rsid w:val="00FA406A"/>
    <w:rsid w:val="00FA4160"/>
    <w:rsid w:val="00FA436B"/>
    <w:rsid w:val="00FA4688"/>
    <w:rsid w:val="00FA567A"/>
    <w:rsid w:val="00FA5702"/>
    <w:rsid w:val="00FA60CE"/>
    <w:rsid w:val="00FA6542"/>
    <w:rsid w:val="00FA72A0"/>
    <w:rsid w:val="00FA749D"/>
    <w:rsid w:val="00FB00A1"/>
    <w:rsid w:val="00FB01D3"/>
    <w:rsid w:val="00FB056C"/>
    <w:rsid w:val="00FB1391"/>
    <w:rsid w:val="00FB13FB"/>
    <w:rsid w:val="00FB2F62"/>
    <w:rsid w:val="00FB4426"/>
    <w:rsid w:val="00FB4858"/>
    <w:rsid w:val="00FB503A"/>
    <w:rsid w:val="00FB516C"/>
    <w:rsid w:val="00FB525A"/>
    <w:rsid w:val="00FB5625"/>
    <w:rsid w:val="00FB5629"/>
    <w:rsid w:val="00FB5B2B"/>
    <w:rsid w:val="00FB6116"/>
    <w:rsid w:val="00FB6643"/>
    <w:rsid w:val="00FC04F4"/>
    <w:rsid w:val="00FC09F7"/>
    <w:rsid w:val="00FC139F"/>
    <w:rsid w:val="00FC182B"/>
    <w:rsid w:val="00FC1C10"/>
    <w:rsid w:val="00FC26DE"/>
    <w:rsid w:val="00FC2799"/>
    <w:rsid w:val="00FC3084"/>
    <w:rsid w:val="00FC3297"/>
    <w:rsid w:val="00FC36F7"/>
    <w:rsid w:val="00FC39DA"/>
    <w:rsid w:val="00FC44C3"/>
    <w:rsid w:val="00FC46A1"/>
    <w:rsid w:val="00FC54A0"/>
    <w:rsid w:val="00FC5DF2"/>
    <w:rsid w:val="00FC6176"/>
    <w:rsid w:val="00FC61FA"/>
    <w:rsid w:val="00FC66AD"/>
    <w:rsid w:val="00FC6E46"/>
    <w:rsid w:val="00FD007F"/>
    <w:rsid w:val="00FD0087"/>
    <w:rsid w:val="00FD0236"/>
    <w:rsid w:val="00FD0692"/>
    <w:rsid w:val="00FD12F6"/>
    <w:rsid w:val="00FD17EB"/>
    <w:rsid w:val="00FD18F4"/>
    <w:rsid w:val="00FD259C"/>
    <w:rsid w:val="00FD26DD"/>
    <w:rsid w:val="00FD27D1"/>
    <w:rsid w:val="00FD2A2C"/>
    <w:rsid w:val="00FD3090"/>
    <w:rsid w:val="00FD34F6"/>
    <w:rsid w:val="00FD3D8F"/>
    <w:rsid w:val="00FD4DA0"/>
    <w:rsid w:val="00FD54DB"/>
    <w:rsid w:val="00FD5C9C"/>
    <w:rsid w:val="00FD619F"/>
    <w:rsid w:val="00FD6C5F"/>
    <w:rsid w:val="00FD6F18"/>
    <w:rsid w:val="00FD7314"/>
    <w:rsid w:val="00FD77C3"/>
    <w:rsid w:val="00FD77E5"/>
    <w:rsid w:val="00FE069F"/>
    <w:rsid w:val="00FE07AD"/>
    <w:rsid w:val="00FE0C2E"/>
    <w:rsid w:val="00FE0DD9"/>
    <w:rsid w:val="00FE0F2F"/>
    <w:rsid w:val="00FE12A2"/>
    <w:rsid w:val="00FE19BB"/>
    <w:rsid w:val="00FE1E33"/>
    <w:rsid w:val="00FE1EE2"/>
    <w:rsid w:val="00FE2295"/>
    <w:rsid w:val="00FE22DC"/>
    <w:rsid w:val="00FE2751"/>
    <w:rsid w:val="00FE2E91"/>
    <w:rsid w:val="00FE2FE5"/>
    <w:rsid w:val="00FE3113"/>
    <w:rsid w:val="00FE36C3"/>
    <w:rsid w:val="00FE444F"/>
    <w:rsid w:val="00FE4BB1"/>
    <w:rsid w:val="00FE4F74"/>
    <w:rsid w:val="00FE56AD"/>
    <w:rsid w:val="00FE59A5"/>
    <w:rsid w:val="00FE5C6E"/>
    <w:rsid w:val="00FE5D2C"/>
    <w:rsid w:val="00FE69E6"/>
    <w:rsid w:val="00FE6CA1"/>
    <w:rsid w:val="00FE6E6B"/>
    <w:rsid w:val="00FE76C3"/>
    <w:rsid w:val="00FF00C8"/>
    <w:rsid w:val="00FF06E0"/>
    <w:rsid w:val="00FF0EF6"/>
    <w:rsid w:val="00FF16A5"/>
    <w:rsid w:val="00FF25FA"/>
    <w:rsid w:val="00FF28D4"/>
    <w:rsid w:val="00FF32D5"/>
    <w:rsid w:val="00FF3AB3"/>
    <w:rsid w:val="00FF3E4E"/>
    <w:rsid w:val="00FF4644"/>
    <w:rsid w:val="00FF4CD3"/>
    <w:rsid w:val="00FF521B"/>
    <w:rsid w:val="00FF5EB5"/>
    <w:rsid w:val="00FF68E2"/>
    <w:rsid w:val="00FF69D2"/>
    <w:rsid w:val="00FF6E20"/>
    <w:rsid w:val="01290F7E"/>
    <w:rsid w:val="015D1E09"/>
    <w:rsid w:val="02697903"/>
    <w:rsid w:val="02F96569"/>
    <w:rsid w:val="03EA7B21"/>
    <w:rsid w:val="05F83EAE"/>
    <w:rsid w:val="063E7D85"/>
    <w:rsid w:val="07293586"/>
    <w:rsid w:val="07295285"/>
    <w:rsid w:val="07636392"/>
    <w:rsid w:val="07770C56"/>
    <w:rsid w:val="092217DD"/>
    <w:rsid w:val="093A7294"/>
    <w:rsid w:val="0A263993"/>
    <w:rsid w:val="0A2D3AC2"/>
    <w:rsid w:val="0AA755DF"/>
    <w:rsid w:val="0B120D44"/>
    <w:rsid w:val="0BD27BF6"/>
    <w:rsid w:val="0C3B3C7D"/>
    <w:rsid w:val="0CAB2EAE"/>
    <w:rsid w:val="0D621C7D"/>
    <w:rsid w:val="0E73034D"/>
    <w:rsid w:val="0F13775A"/>
    <w:rsid w:val="0F5F45FE"/>
    <w:rsid w:val="0F9A112B"/>
    <w:rsid w:val="106D2F64"/>
    <w:rsid w:val="10B63710"/>
    <w:rsid w:val="10F10820"/>
    <w:rsid w:val="111C2F7A"/>
    <w:rsid w:val="11665CA1"/>
    <w:rsid w:val="13951726"/>
    <w:rsid w:val="14396509"/>
    <w:rsid w:val="14DD2C3C"/>
    <w:rsid w:val="16087E1D"/>
    <w:rsid w:val="17701D14"/>
    <w:rsid w:val="17735226"/>
    <w:rsid w:val="189F624C"/>
    <w:rsid w:val="1A1C66C0"/>
    <w:rsid w:val="1A42393B"/>
    <w:rsid w:val="1AAD45DE"/>
    <w:rsid w:val="1B046F80"/>
    <w:rsid w:val="1B3267B5"/>
    <w:rsid w:val="1B40161D"/>
    <w:rsid w:val="1B441859"/>
    <w:rsid w:val="1B6606B1"/>
    <w:rsid w:val="1C5E7925"/>
    <w:rsid w:val="1CFD070F"/>
    <w:rsid w:val="1D5F6196"/>
    <w:rsid w:val="1D6132A5"/>
    <w:rsid w:val="1D8E56D5"/>
    <w:rsid w:val="1E7A43DA"/>
    <w:rsid w:val="1FE7539E"/>
    <w:rsid w:val="20671BE0"/>
    <w:rsid w:val="20963CB8"/>
    <w:rsid w:val="20A81A1B"/>
    <w:rsid w:val="20B07FB6"/>
    <w:rsid w:val="20B646FB"/>
    <w:rsid w:val="213B74B1"/>
    <w:rsid w:val="215A2310"/>
    <w:rsid w:val="21DE318A"/>
    <w:rsid w:val="21EF5B80"/>
    <w:rsid w:val="22576990"/>
    <w:rsid w:val="22F47480"/>
    <w:rsid w:val="23DE1C48"/>
    <w:rsid w:val="240210CD"/>
    <w:rsid w:val="24BF09F7"/>
    <w:rsid w:val="252D53FE"/>
    <w:rsid w:val="25EC2D81"/>
    <w:rsid w:val="277057A2"/>
    <w:rsid w:val="29206EB8"/>
    <w:rsid w:val="29595666"/>
    <w:rsid w:val="29874881"/>
    <w:rsid w:val="29E325E0"/>
    <w:rsid w:val="2A452503"/>
    <w:rsid w:val="2BA936A8"/>
    <w:rsid w:val="2C315A5A"/>
    <w:rsid w:val="2C4B1C25"/>
    <w:rsid w:val="2D9E56F5"/>
    <w:rsid w:val="2E667F96"/>
    <w:rsid w:val="2E8226AB"/>
    <w:rsid w:val="2FD065E6"/>
    <w:rsid w:val="2FD96870"/>
    <w:rsid w:val="30580BC9"/>
    <w:rsid w:val="311E2ED7"/>
    <w:rsid w:val="315619EE"/>
    <w:rsid w:val="315C449C"/>
    <w:rsid w:val="31B82709"/>
    <w:rsid w:val="31D05482"/>
    <w:rsid w:val="32400B34"/>
    <w:rsid w:val="329E6876"/>
    <w:rsid w:val="333015F2"/>
    <w:rsid w:val="334B6320"/>
    <w:rsid w:val="33D934D4"/>
    <w:rsid w:val="33FE2F6A"/>
    <w:rsid w:val="340E07E5"/>
    <w:rsid w:val="34235BF7"/>
    <w:rsid w:val="358C5FA8"/>
    <w:rsid w:val="35C15DF1"/>
    <w:rsid w:val="36074A7F"/>
    <w:rsid w:val="36923549"/>
    <w:rsid w:val="36B75FBF"/>
    <w:rsid w:val="36BD0C45"/>
    <w:rsid w:val="37E00298"/>
    <w:rsid w:val="38B302F9"/>
    <w:rsid w:val="38F12CD3"/>
    <w:rsid w:val="38F94775"/>
    <w:rsid w:val="392971ED"/>
    <w:rsid w:val="39325651"/>
    <w:rsid w:val="3A872856"/>
    <w:rsid w:val="3B3763D1"/>
    <w:rsid w:val="3C2F6E1E"/>
    <w:rsid w:val="3C4F64BA"/>
    <w:rsid w:val="3CDA245A"/>
    <w:rsid w:val="3D1E06B7"/>
    <w:rsid w:val="3EDA0523"/>
    <w:rsid w:val="407A6407"/>
    <w:rsid w:val="4200449D"/>
    <w:rsid w:val="423A3BCC"/>
    <w:rsid w:val="424E57D2"/>
    <w:rsid w:val="42B26C49"/>
    <w:rsid w:val="433A6FE6"/>
    <w:rsid w:val="43480868"/>
    <w:rsid w:val="4350713C"/>
    <w:rsid w:val="436653E0"/>
    <w:rsid w:val="43C4431A"/>
    <w:rsid w:val="44B951CC"/>
    <w:rsid w:val="44CD14E0"/>
    <w:rsid w:val="44F20B0B"/>
    <w:rsid w:val="452E5F4C"/>
    <w:rsid w:val="45612018"/>
    <w:rsid w:val="458946E9"/>
    <w:rsid w:val="45A47C0E"/>
    <w:rsid w:val="46577FD6"/>
    <w:rsid w:val="46D955A7"/>
    <w:rsid w:val="47133957"/>
    <w:rsid w:val="47A07E0C"/>
    <w:rsid w:val="4870272E"/>
    <w:rsid w:val="49DC7715"/>
    <w:rsid w:val="4A023139"/>
    <w:rsid w:val="4A7B576F"/>
    <w:rsid w:val="4AF561A9"/>
    <w:rsid w:val="4C4A0649"/>
    <w:rsid w:val="4C7E5ECA"/>
    <w:rsid w:val="4C876AA5"/>
    <w:rsid w:val="4D0E00FB"/>
    <w:rsid w:val="4D176606"/>
    <w:rsid w:val="4DEC4FB0"/>
    <w:rsid w:val="4E075D8A"/>
    <w:rsid w:val="4EC00FAD"/>
    <w:rsid w:val="4F9843DC"/>
    <w:rsid w:val="4FC62A8C"/>
    <w:rsid w:val="4FE20F0D"/>
    <w:rsid w:val="4FE51552"/>
    <w:rsid w:val="50504C4B"/>
    <w:rsid w:val="509C6E7C"/>
    <w:rsid w:val="5162104E"/>
    <w:rsid w:val="53A039CC"/>
    <w:rsid w:val="53A1505A"/>
    <w:rsid w:val="54063E08"/>
    <w:rsid w:val="543437E8"/>
    <w:rsid w:val="54F73313"/>
    <w:rsid w:val="54F80955"/>
    <w:rsid w:val="555170A7"/>
    <w:rsid w:val="5587536D"/>
    <w:rsid w:val="559B174B"/>
    <w:rsid w:val="55CE0CF4"/>
    <w:rsid w:val="56B22A9C"/>
    <w:rsid w:val="57B72A76"/>
    <w:rsid w:val="57C3426C"/>
    <w:rsid w:val="57CE1F93"/>
    <w:rsid w:val="588743D1"/>
    <w:rsid w:val="5887701A"/>
    <w:rsid w:val="59C0439F"/>
    <w:rsid w:val="5ABE2233"/>
    <w:rsid w:val="5BDF5D95"/>
    <w:rsid w:val="5BFE7528"/>
    <w:rsid w:val="5E2467F1"/>
    <w:rsid w:val="5F1A2B43"/>
    <w:rsid w:val="5FB837BB"/>
    <w:rsid w:val="60CC405A"/>
    <w:rsid w:val="61E215D8"/>
    <w:rsid w:val="621B3775"/>
    <w:rsid w:val="62364782"/>
    <w:rsid w:val="6394356A"/>
    <w:rsid w:val="63C61B2C"/>
    <w:rsid w:val="63D40BE9"/>
    <w:rsid w:val="64102431"/>
    <w:rsid w:val="64A5243A"/>
    <w:rsid w:val="64F531DE"/>
    <w:rsid w:val="65373578"/>
    <w:rsid w:val="671F124A"/>
    <w:rsid w:val="677A33C6"/>
    <w:rsid w:val="681F6961"/>
    <w:rsid w:val="68610A2F"/>
    <w:rsid w:val="68805514"/>
    <w:rsid w:val="69316E2F"/>
    <w:rsid w:val="694E2071"/>
    <w:rsid w:val="69766163"/>
    <w:rsid w:val="697A3B33"/>
    <w:rsid w:val="69D44760"/>
    <w:rsid w:val="6A520EC7"/>
    <w:rsid w:val="6AF87E20"/>
    <w:rsid w:val="6B322639"/>
    <w:rsid w:val="6C636C38"/>
    <w:rsid w:val="6DB34098"/>
    <w:rsid w:val="6DB545B6"/>
    <w:rsid w:val="6DE02FB4"/>
    <w:rsid w:val="6E514CED"/>
    <w:rsid w:val="6EB563D5"/>
    <w:rsid w:val="6ED92677"/>
    <w:rsid w:val="6F225983"/>
    <w:rsid w:val="6FFC5590"/>
    <w:rsid w:val="706D1DD0"/>
    <w:rsid w:val="70856B87"/>
    <w:rsid w:val="70D527EE"/>
    <w:rsid w:val="715B5300"/>
    <w:rsid w:val="71D27F8A"/>
    <w:rsid w:val="72553024"/>
    <w:rsid w:val="73122968"/>
    <w:rsid w:val="731F5D5E"/>
    <w:rsid w:val="73C51AD5"/>
    <w:rsid w:val="741E793C"/>
    <w:rsid w:val="745E3944"/>
    <w:rsid w:val="7635099D"/>
    <w:rsid w:val="77762421"/>
    <w:rsid w:val="77B56B1F"/>
    <w:rsid w:val="780F09F4"/>
    <w:rsid w:val="78A90480"/>
    <w:rsid w:val="7A364017"/>
    <w:rsid w:val="7A8265E1"/>
    <w:rsid w:val="7B686D42"/>
    <w:rsid w:val="7B841746"/>
    <w:rsid w:val="7C6C5AC7"/>
    <w:rsid w:val="7CC6544B"/>
    <w:rsid w:val="7D0239FF"/>
    <w:rsid w:val="7D5E40CD"/>
    <w:rsid w:val="7DCD56F2"/>
    <w:rsid w:val="7F001CE7"/>
    <w:rsid w:val="7FE47E50"/>
    <w:rsid w:val="7FFDC99B"/>
    <w:rsid w:val="CCFFE2E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iPriority="99" w:semiHidden="0" w:name="Hyperlink" w:locked="1"/>
    <w:lsdException w:qFormat="1" w:unhideWhenUsed="0" w:uiPriority="0" w:semiHidden="0" w:name="FollowedHyperlink" w:locked="1"/>
    <w:lsdException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iPriority="0" w:name="HTML Preformatted" w:locked="1"/>
    <w:lsdException w:unhideWhenUsed="0" w:uiPriority="0" w:semiHidden="0" w:name="HTML Sample" w:locked="1"/>
    <w:lsdException w:unhideWhenUsed="0" w:uiPriority="0" w:semiHidden="0" w:name="HTML Typewriter" w:locked="1"/>
    <w:lsdException w:uiPriority="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39" w:semiHidden="0" w:name="Table Grid"/>
    <w:lsdException w:uiPriority="0" w:name="Table Theme" w:locked="1"/>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92"/>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4">
    <w:name w:val="Normal Indent"/>
    <w:basedOn w:val="1"/>
    <w:link w:val="142"/>
    <w:qFormat/>
    <w:locked/>
    <w:uiPriority w:val="0"/>
    <w:pPr>
      <w:spacing w:line="460" w:lineRule="atLeast"/>
      <w:ind w:firstLine="420"/>
    </w:pPr>
    <w:rPr>
      <w:rFonts w:ascii="Calibri" w:hAnsi="Calibri"/>
      <w:sz w:val="24"/>
    </w:rPr>
  </w:style>
  <w:style w:type="paragraph" w:styleId="5">
    <w:name w:val="annotation text"/>
    <w:basedOn w:val="1"/>
    <w:link w:val="34"/>
    <w:qFormat/>
    <w:uiPriority w:val="0"/>
    <w:pPr>
      <w:jc w:val="left"/>
    </w:pPr>
    <w:rPr>
      <w:kern w:val="0"/>
      <w:sz w:val="24"/>
      <w:szCs w:val="20"/>
    </w:rPr>
  </w:style>
  <w:style w:type="paragraph" w:styleId="6">
    <w:name w:val="Body Text"/>
    <w:basedOn w:val="1"/>
    <w:link w:val="33"/>
    <w:qFormat/>
    <w:uiPriority w:val="0"/>
    <w:pPr>
      <w:widowControl/>
      <w:snapToGrid w:val="0"/>
      <w:spacing w:before="60" w:after="160" w:line="259" w:lineRule="auto"/>
      <w:ind w:right="113"/>
    </w:pPr>
    <w:rPr>
      <w:kern w:val="0"/>
      <w:sz w:val="18"/>
      <w:szCs w:val="20"/>
    </w:rPr>
  </w:style>
  <w:style w:type="paragraph" w:styleId="7">
    <w:name w:val="Body Text Indent"/>
    <w:basedOn w:val="1"/>
    <w:link w:val="42"/>
    <w:qFormat/>
    <w:uiPriority w:val="0"/>
    <w:pPr>
      <w:spacing w:after="120"/>
      <w:ind w:left="420" w:leftChars="200"/>
    </w:pPr>
    <w:rPr>
      <w:kern w:val="0"/>
      <w:sz w:val="24"/>
      <w:szCs w:val="20"/>
    </w:rPr>
  </w:style>
  <w:style w:type="paragraph" w:styleId="8">
    <w:name w:val="Plain Text"/>
    <w:basedOn w:val="1"/>
    <w:link w:val="113"/>
    <w:qFormat/>
    <w:locked/>
    <w:uiPriority w:val="0"/>
    <w:rPr>
      <w:rFonts w:hAnsi="Courier New" w:cs="Courier New" w:asciiTheme="minorEastAsia"/>
      <w:snapToGrid w:val="0"/>
      <w:kern w:val="0"/>
      <w:sz w:val="24"/>
    </w:rPr>
  </w:style>
  <w:style w:type="paragraph" w:styleId="9">
    <w:name w:val="Date"/>
    <w:basedOn w:val="1"/>
    <w:next w:val="1"/>
    <w:link w:val="29"/>
    <w:qFormat/>
    <w:uiPriority w:val="0"/>
    <w:pPr>
      <w:ind w:left="100" w:leftChars="2500"/>
    </w:pPr>
    <w:rPr>
      <w:kern w:val="0"/>
      <w:sz w:val="24"/>
      <w:szCs w:val="20"/>
    </w:rPr>
  </w:style>
  <w:style w:type="paragraph" w:styleId="10">
    <w:name w:val="Balloon Text"/>
    <w:basedOn w:val="1"/>
    <w:link w:val="38"/>
    <w:semiHidden/>
    <w:qFormat/>
    <w:uiPriority w:val="0"/>
    <w:rPr>
      <w:kern w:val="0"/>
      <w:sz w:val="18"/>
      <w:szCs w:val="20"/>
    </w:rPr>
  </w:style>
  <w:style w:type="paragraph" w:styleId="11">
    <w:name w:val="footer"/>
    <w:basedOn w:val="1"/>
    <w:link w:val="28"/>
    <w:qFormat/>
    <w:uiPriority w:val="99"/>
    <w:pPr>
      <w:tabs>
        <w:tab w:val="center" w:pos="4153"/>
        <w:tab w:val="right" w:pos="8306"/>
      </w:tabs>
      <w:snapToGrid w:val="0"/>
      <w:jc w:val="left"/>
    </w:pPr>
    <w:rPr>
      <w:kern w:val="0"/>
      <w:sz w:val="18"/>
      <w:szCs w:val="20"/>
    </w:rPr>
  </w:style>
  <w:style w:type="paragraph" w:styleId="12">
    <w:name w:val="header"/>
    <w:basedOn w:val="1"/>
    <w:link w:val="40"/>
    <w:qFormat/>
    <w:uiPriority w:val="0"/>
    <w:pPr>
      <w:pBdr>
        <w:bottom w:val="single" w:color="auto" w:sz="6" w:space="1"/>
      </w:pBdr>
      <w:tabs>
        <w:tab w:val="center" w:pos="4153"/>
        <w:tab w:val="right" w:pos="8306"/>
      </w:tabs>
      <w:snapToGrid w:val="0"/>
      <w:jc w:val="center"/>
    </w:pPr>
    <w:rPr>
      <w:kern w:val="0"/>
      <w:sz w:val="18"/>
      <w:szCs w:val="20"/>
    </w:rPr>
  </w:style>
  <w:style w:type="paragraph" w:styleId="13">
    <w:name w:val="toc 1"/>
    <w:basedOn w:val="1"/>
    <w:next w:val="1"/>
    <w:autoRedefine/>
    <w:qFormat/>
    <w:locked/>
    <w:uiPriority w:val="39"/>
    <w:pPr>
      <w:tabs>
        <w:tab w:val="right" w:leader="dot" w:pos="8834"/>
      </w:tabs>
      <w:spacing w:line="440" w:lineRule="exact"/>
    </w:pPr>
  </w:style>
  <w:style w:type="paragraph" w:styleId="14">
    <w:name w:val="toc 2"/>
    <w:basedOn w:val="1"/>
    <w:next w:val="1"/>
    <w:autoRedefine/>
    <w:qFormat/>
    <w:locked/>
    <w:uiPriority w:val="39"/>
    <w:pPr>
      <w:tabs>
        <w:tab w:val="right" w:leader="dot" w:pos="8834"/>
      </w:tabs>
      <w:adjustRightInd w:val="0"/>
      <w:snapToGrid w:val="0"/>
      <w:spacing w:line="400" w:lineRule="exact"/>
      <w:ind w:left="420" w:leftChars="200"/>
    </w:pPr>
    <w:rPr>
      <w:rFonts w:eastAsia="仿宋"/>
      <w:b/>
      <w:bCs/>
      <w:snapToGrid w:val="0"/>
      <w:sz w:val="24"/>
    </w:rPr>
  </w:style>
  <w:style w:type="paragraph" w:styleId="15">
    <w:name w:val="Normal (Web)"/>
    <w:basedOn w:val="1"/>
    <w:link w:val="31"/>
    <w:qFormat/>
    <w:uiPriority w:val="0"/>
    <w:pPr>
      <w:widowControl/>
      <w:spacing w:before="100" w:beforeAutospacing="1" w:after="100" w:afterAutospacing="1"/>
      <w:jc w:val="left"/>
    </w:pPr>
    <w:rPr>
      <w:rFonts w:ascii="宋体" w:hAnsi="宋体"/>
      <w:kern w:val="0"/>
      <w:sz w:val="24"/>
      <w:szCs w:val="20"/>
    </w:rPr>
  </w:style>
  <w:style w:type="paragraph" w:styleId="16">
    <w:name w:val="Title"/>
    <w:basedOn w:val="1"/>
    <w:next w:val="1"/>
    <w:link w:val="63"/>
    <w:qFormat/>
    <w:locked/>
    <w:uiPriority w:val="0"/>
    <w:pPr>
      <w:jc w:val="left"/>
      <w:outlineLvl w:val="0"/>
    </w:pPr>
    <w:rPr>
      <w:rFonts w:cstheme="majorBidi"/>
      <w:b/>
      <w:bCs/>
      <w:sz w:val="24"/>
      <w:szCs w:val="32"/>
    </w:rPr>
  </w:style>
  <w:style w:type="paragraph" w:styleId="17">
    <w:name w:val="annotation subject"/>
    <w:basedOn w:val="5"/>
    <w:next w:val="5"/>
    <w:link w:val="39"/>
    <w:semiHidden/>
    <w:qFormat/>
    <w:uiPriority w:val="0"/>
    <w:rPr>
      <w:b/>
    </w:rPr>
  </w:style>
  <w:style w:type="paragraph" w:styleId="18">
    <w:name w:val="Body Text First Indent"/>
    <w:basedOn w:val="6"/>
    <w:link w:val="66"/>
    <w:qFormat/>
    <w:locked/>
    <w:uiPriority w:val="0"/>
    <w:pPr>
      <w:widowControl w:val="0"/>
      <w:snapToGrid/>
      <w:spacing w:before="0" w:after="120" w:line="240" w:lineRule="auto"/>
      <w:ind w:right="0" w:firstLine="420" w:firstLineChars="100"/>
    </w:pPr>
    <w:rPr>
      <w:kern w:val="2"/>
      <w:sz w:val="21"/>
      <w:szCs w:val="24"/>
    </w:rPr>
  </w:style>
  <w:style w:type="paragraph" w:styleId="19">
    <w:name w:val="Body Text First Indent 2"/>
    <w:basedOn w:val="7"/>
    <w:link w:val="126"/>
    <w:unhideWhenUsed/>
    <w:qFormat/>
    <w:locked/>
    <w:uiPriority w:val="0"/>
    <w:pPr>
      <w:ind w:firstLine="420" w:firstLineChars="200"/>
    </w:pPr>
    <w:rPr>
      <w:kern w:val="2"/>
      <w:sz w:val="21"/>
      <w:szCs w:val="24"/>
    </w:rPr>
  </w:style>
  <w:style w:type="table" w:styleId="21">
    <w:name w:val="Table Grid"/>
    <w:basedOn w:val="20"/>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page number"/>
    <w:basedOn w:val="22"/>
    <w:qFormat/>
    <w:locked/>
    <w:uiPriority w:val="0"/>
  </w:style>
  <w:style w:type="character" w:styleId="24">
    <w:name w:val="FollowedHyperlink"/>
    <w:qFormat/>
    <w:locked/>
    <w:uiPriority w:val="0"/>
    <w:rPr>
      <w:color w:val="434343"/>
      <w:u w:val="none"/>
    </w:rPr>
  </w:style>
  <w:style w:type="character" w:styleId="25">
    <w:name w:val="Emphasis"/>
    <w:basedOn w:val="22"/>
    <w:qFormat/>
    <w:locked/>
    <w:uiPriority w:val="0"/>
    <w:rPr>
      <w:i/>
      <w:iCs/>
    </w:rPr>
  </w:style>
  <w:style w:type="character" w:styleId="26">
    <w:name w:val="Hyperlink"/>
    <w:basedOn w:val="22"/>
    <w:unhideWhenUsed/>
    <w:qFormat/>
    <w:locked/>
    <w:uiPriority w:val="99"/>
    <w:rPr>
      <w:color w:val="0563C1" w:themeColor="hyperlink"/>
      <w:u w:val="single"/>
      <w14:textFill>
        <w14:solidFill>
          <w14:schemeClr w14:val="hlink"/>
        </w14:solidFill>
      </w14:textFill>
    </w:rPr>
  </w:style>
  <w:style w:type="character" w:styleId="27">
    <w:name w:val="annotation reference"/>
    <w:qFormat/>
    <w:uiPriority w:val="0"/>
    <w:rPr>
      <w:sz w:val="21"/>
    </w:rPr>
  </w:style>
  <w:style w:type="character" w:customStyle="1" w:styleId="28">
    <w:name w:val="页脚 字符1"/>
    <w:link w:val="11"/>
    <w:qFormat/>
    <w:locked/>
    <w:uiPriority w:val="99"/>
    <w:rPr>
      <w:sz w:val="18"/>
    </w:rPr>
  </w:style>
  <w:style w:type="character" w:customStyle="1" w:styleId="29">
    <w:name w:val="日期 字符1"/>
    <w:link w:val="9"/>
    <w:qFormat/>
    <w:locked/>
    <w:uiPriority w:val="0"/>
    <w:rPr>
      <w:rFonts w:ascii="Times New Roman" w:hAnsi="Times New Roman" w:eastAsia="宋体"/>
      <w:sz w:val="24"/>
    </w:rPr>
  </w:style>
  <w:style w:type="character" w:customStyle="1" w:styleId="30">
    <w:name w:val="页脚 字符"/>
    <w:basedOn w:val="22"/>
    <w:qFormat/>
    <w:uiPriority w:val="99"/>
  </w:style>
  <w:style w:type="character" w:customStyle="1" w:styleId="31">
    <w:name w:val="普通(网站) 字符"/>
    <w:link w:val="15"/>
    <w:qFormat/>
    <w:locked/>
    <w:uiPriority w:val="0"/>
    <w:rPr>
      <w:rFonts w:ascii="宋体" w:hAnsi="宋体" w:eastAsia="宋体"/>
      <w:sz w:val="24"/>
    </w:rPr>
  </w:style>
  <w:style w:type="character" w:customStyle="1" w:styleId="32">
    <w:name w:val="正文文本 字符1"/>
    <w:semiHidden/>
    <w:qFormat/>
    <w:uiPriority w:val="0"/>
    <w:rPr>
      <w:rFonts w:ascii="Times New Roman" w:hAnsi="Times New Roman" w:eastAsia="宋体"/>
      <w:sz w:val="24"/>
    </w:rPr>
  </w:style>
  <w:style w:type="character" w:customStyle="1" w:styleId="33">
    <w:name w:val="正文文本 字符"/>
    <w:link w:val="6"/>
    <w:qFormat/>
    <w:locked/>
    <w:uiPriority w:val="0"/>
    <w:rPr>
      <w:sz w:val="18"/>
    </w:rPr>
  </w:style>
  <w:style w:type="character" w:customStyle="1" w:styleId="34">
    <w:name w:val="批注文字 字符"/>
    <w:link w:val="5"/>
    <w:qFormat/>
    <w:locked/>
    <w:uiPriority w:val="0"/>
    <w:rPr>
      <w:rFonts w:ascii="Times New Roman" w:hAnsi="Times New Roman" w:eastAsia="宋体"/>
      <w:sz w:val="24"/>
    </w:rPr>
  </w:style>
  <w:style w:type="character" w:customStyle="1" w:styleId="35">
    <w:name w:val="表格 Char"/>
    <w:link w:val="36"/>
    <w:qFormat/>
    <w:locked/>
    <w:uiPriority w:val="0"/>
    <w:rPr>
      <w:rFonts w:ascii="宋体"/>
      <w:sz w:val="21"/>
    </w:rPr>
  </w:style>
  <w:style w:type="paragraph" w:customStyle="1" w:styleId="36">
    <w:name w:val="表格"/>
    <w:basedOn w:val="1"/>
    <w:next w:val="1"/>
    <w:link w:val="35"/>
    <w:qFormat/>
    <w:uiPriority w:val="0"/>
    <w:pPr>
      <w:adjustRightInd w:val="0"/>
      <w:snapToGrid w:val="0"/>
      <w:spacing w:beforeLines="10" w:afterLines="10" w:line="259" w:lineRule="auto"/>
      <w:jc w:val="center"/>
    </w:pPr>
    <w:rPr>
      <w:rFonts w:ascii="宋体"/>
      <w:kern w:val="0"/>
      <w:szCs w:val="20"/>
    </w:rPr>
  </w:style>
  <w:style w:type="character" w:customStyle="1" w:styleId="37">
    <w:name w:val="日期 字符"/>
    <w:semiHidden/>
    <w:qFormat/>
    <w:uiPriority w:val="0"/>
    <w:rPr>
      <w:rFonts w:ascii="Times New Roman" w:hAnsi="Times New Roman" w:eastAsia="宋体"/>
      <w:sz w:val="24"/>
    </w:rPr>
  </w:style>
  <w:style w:type="character" w:customStyle="1" w:styleId="38">
    <w:name w:val="批注框文本 字符"/>
    <w:link w:val="10"/>
    <w:semiHidden/>
    <w:qFormat/>
    <w:locked/>
    <w:uiPriority w:val="0"/>
    <w:rPr>
      <w:rFonts w:ascii="Times New Roman" w:hAnsi="Times New Roman" w:eastAsia="宋体"/>
      <w:sz w:val="18"/>
    </w:rPr>
  </w:style>
  <w:style w:type="character" w:customStyle="1" w:styleId="39">
    <w:name w:val="批注主题 字符"/>
    <w:link w:val="17"/>
    <w:semiHidden/>
    <w:qFormat/>
    <w:locked/>
    <w:uiPriority w:val="0"/>
    <w:rPr>
      <w:rFonts w:ascii="Times New Roman" w:hAnsi="Times New Roman" w:eastAsia="宋体"/>
      <w:b/>
      <w:kern w:val="2"/>
      <w:sz w:val="24"/>
    </w:rPr>
  </w:style>
  <w:style w:type="character" w:customStyle="1" w:styleId="40">
    <w:name w:val="页眉 字符"/>
    <w:link w:val="12"/>
    <w:qFormat/>
    <w:locked/>
    <w:uiPriority w:val="0"/>
    <w:rPr>
      <w:sz w:val="18"/>
    </w:rPr>
  </w:style>
  <w:style w:type="character" w:customStyle="1" w:styleId="41">
    <w:name w:val="批注文字 字符1"/>
    <w:semiHidden/>
    <w:qFormat/>
    <w:uiPriority w:val="0"/>
    <w:rPr>
      <w:rFonts w:ascii="Times New Roman" w:hAnsi="Times New Roman" w:eastAsia="宋体"/>
      <w:sz w:val="24"/>
    </w:rPr>
  </w:style>
  <w:style w:type="character" w:customStyle="1" w:styleId="42">
    <w:name w:val="正文文本缩进 字符"/>
    <w:link w:val="7"/>
    <w:semiHidden/>
    <w:qFormat/>
    <w:locked/>
    <w:uiPriority w:val="0"/>
    <w:rPr>
      <w:rFonts w:ascii="Times New Roman" w:hAnsi="Times New Roman" w:eastAsia="宋体"/>
      <w:sz w:val="24"/>
    </w:rPr>
  </w:style>
  <w:style w:type="paragraph" w:customStyle="1" w:styleId="43">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4">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45">
    <w:name w:val="【表头】 Char"/>
    <w:link w:val="46"/>
    <w:qFormat/>
    <w:uiPriority w:val="0"/>
    <w:rPr>
      <w:rFonts w:eastAsia="仿宋" w:cs="宋体"/>
      <w:b/>
      <w:sz w:val="24"/>
    </w:rPr>
  </w:style>
  <w:style w:type="paragraph" w:customStyle="1" w:styleId="46">
    <w:name w:val="【表头】"/>
    <w:basedOn w:val="1"/>
    <w:link w:val="45"/>
    <w:qFormat/>
    <w:uiPriority w:val="0"/>
    <w:pPr>
      <w:widowControl/>
      <w:adjustRightInd w:val="0"/>
      <w:snapToGrid w:val="0"/>
      <w:spacing w:line="400" w:lineRule="exact"/>
      <w:jc w:val="center"/>
    </w:pPr>
    <w:rPr>
      <w:rFonts w:eastAsia="仿宋" w:cs="宋体"/>
      <w:b/>
      <w:kern w:val="0"/>
      <w:sz w:val="24"/>
      <w:szCs w:val="20"/>
    </w:rPr>
  </w:style>
  <w:style w:type="character" w:customStyle="1" w:styleId="47">
    <w:name w:val="【表中文字】- 字符"/>
    <w:link w:val="48"/>
    <w:qFormat/>
    <w:uiPriority w:val="0"/>
    <w:rPr>
      <w:sz w:val="18"/>
    </w:rPr>
  </w:style>
  <w:style w:type="paragraph" w:customStyle="1" w:styleId="48">
    <w:name w:val="【表中文字】-"/>
    <w:basedOn w:val="1"/>
    <w:link w:val="47"/>
    <w:qFormat/>
    <w:uiPriority w:val="0"/>
    <w:pPr>
      <w:adjustRightInd w:val="0"/>
      <w:snapToGrid w:val="0"/>
      <w:jc w:val="center"/>
    </w:pPr>
    <w:rPr>
      <w:kern w:val="0"/>
      <w:sz w:val="18"/>
      <w:szCs w:val="20"/>
    </w:rPr>
  </w:style>
  <w:style w:type="character" w:customStyle="1" w:styleId="49">
    <w:name w:val="【正文】 Char"/>
    <w:link w:val="50"/>
    <w:qFormat/>
    <w:uiPriority w:val="0"/>
    <w:rPr>
      <w:rFonts w:cs="宋体"/>
      <w:color w:val="000000" w:themeColor="text1"/>
      <w:sz w:val="24"/>
      <w:szCs w:val="24"/>
      <w14:textFill>
        <w14:solidFill>
          <w14:schemeClr w14:val="tx1"/>
        </w14:solidFill>
      </w14:textFill>
    </w:rPr>
  </w:style>
  <w:style w:type="paragraph" w:customStyle="1" w:styleId="50">
    <w:name w:val="【正文】"/>
    <w:basedOn w:val="1"/>
    <w:link w:val="49"/>
    <w:qFormat/>
    <w:uiPriority w:val="0"/>
    <w:pPr>
      <w:spacing w:line="360" w:lineRule="auto"/>
      <w:ind w:firstLine="200" w:firstLineChars="200"/>
    </w:pPr>
    <w:rPr>
      <w:rFonts w:cs="宋体"/>
      <w:color w:val="000000" w:themeColor="text1"/>
      <w:kern w:val="0"/>
      <w:sz w:val="24"/>
      <w14:textFill>
        <w14:solidFill>
          <w14:schemeClr w14:val="tx1"/>
        </w14:solidFill>
      </w14:textFill>
    </w:rPr>
  </w:style>
  <w:style w:type="character" w:customStyle="1" w:styleId="51">
    <w:name w:val="【正文】 Char1"/>
    <w:qFormat/>
    <w:uiPriority w:val="0"/>
    <w:rPr>
      <w:rFonts w:ascii="Times New Roman" w:hAnsi="Times New Roman" w:eastAsia="宋体"/>
      <w:sz w:val="24"/>
    </w:rPr>
  </w:style>
  <w:style w:type="paragraph" w:customStyle="1" w:styleId="52">
    <w:name w:val="首行缩进正文"/>
    <w:basedOn w:val="50"/>
    <w:link w:val="54"/>
    <w:qFormat/>
    <w:uiPriority w:val="0"/>
    <w:rPr>
      <w:sz w:val="21"/>
    </w:rPr>
  </w:style>
  <w:style w:type="paragraph" w:styleId="53">
    <w:name w:val="No Spacing"/>
    <w:qFormat/>
    <w:uiPriority w:val="1"/>
    <w:pPr>
      <w:widowControl w:val="0"/>
      <w:jc w:val="both"/>
    </w:pPr>
    <w:rPr>
      <w:rFonts w:ascii="Times New Roman" w:hAnsi="Times New Roman" w:eastAsia="宋体" w:cs="Times New Roman"/>
      <w:kern w:val="2"/>
      <w:sz w:val="21"/>
      <w:szCs w:val="24"/>
      <w:lang w:val="en-US" w:eastAsia="zh-CN" w:bidi="ar-SA"/>
    </w:rPr>
  </w:style>
  <w:style w:type="character" w:customStyle="1" w:styleId="54">
    <w:name w:val="首行缩进正文 字符"/>
    <w:basedOn w:val="49"/>
    <w:link w:val="52"/>
    <w:qFormat/>
    <w:uiPriority w:val="0"/>
    <w:rPr>
      <w:rFonts w:cs="宋体"/>
      <w:color w:val="000000" w:themeColor="text1"/>
      <w:sz w:val="21"/>
      <w:szCs w:val="24"/>
      <w14:textFill>
        <w14:solidFill>
          <w14:schemeClr w14:val="tx1"/>
        </w14:solidFill>
      </w14:textFill>
    </w:rPr>
  </w:style>
  <w:style w:type="character" w:customStyle="1" w:styleId="55">
    <w:name w:val="内容 Char"/>
    <w:link w:val="56"/>
    <w:qFormat/>
    <w:uiPriority w:val="0"/>
    <w:rPr>
      <w:color w:val="000000"/>
      <w:kern w:val="2"/>
      <w:sz w:val="24"/>
      <w:szCs w:val="24"/>
    </w:rPr>
  </w:style>
  <w:style w:type="paragraph" w:customStyle="1" w:styleId="56">
    <w:name w:val="内容"/>
    <w:basedOn w:val="1"/>
    <w:link w:val="55"/>
    <w:qFormat/>
    <w:uiPriority w:val="0"/>
    <w:pPr>
      <w:widowControl/>
      <w:spacing w:beforeLines="50" w:afterLines="50"/>
      <w:ind w:firstLine="200" w:firstLineChars="200"/>
      <w:jc w:val="left"/>
    </w:pPr>
    <w:rPr>
      <w:color w:val="000000"/>
      <w:sz w:val="24"/>
    </w:rPr>
  </w:style>
  <w:style w:type="paragraph" w:customStyle="1" w:styleId="57">
    <w:name w:val="【正文四号】"/>
    <w:basedOn w:val="1"/>
    <w:qFormat/>
    <w:uiPriority w:val="0"/>
    <w:pPr>
      <w:spacing w:line="360" w:lineRule="auto"/>
      <w:ind w:firstLine="200" w:firstLineChars="200"/>
    </w:pPr>
    <w:rPr>
      <w:kern w:val="0"/>
      <w:sz w:val="28"/>
    </w:rPr>
  </w:style>
  <w:style w:type="paragraph" w:customStyle="1" w:styleId="58">
    <w:name w:val="【表中文字】"/>
    <w:basedOn w:val="1"/>
    <w:link w:val="59"/>
    <w:qFormat/>
    <w:uiPriority w:val="0"/>
    <w:pPr>
      <w:adjustRightInd w:val="0"/>
      <w:snapToGrid w:val="0"/>
      <w:jc w:val="center"/>
    </w:pPr>
    <w:rPr>
      <w:szCs w:val="20"/>
    </w:rPr>
  </w:style>
  <w:style w:type="character" w:customStyle="1" w:styleId="59">
    <w:name w:val="【表中文字】 Char"/>
    <w:link w:val="58"/>
    <w:qFormat/>
    <w:locked/>
    <w:uiPriority w:val="0"/>
    <w:rPr>
      <w:kern w:val="2"/>
      <w:sz w:val="21"/>
    </w:rPr>
  </w:style>
  <w:style w:type="paragraph" w:customStyle="1" w:styleId="60">
    <w:name w:val="列表段落1"/>
    <w:basedOn w:val="1"/>
    <w:qFormat/>
    <w:uiPriority w:val="34"/>
    <w:pPr>
      <w:ind w:firstLine="420" w:firstLineChars="200"/>
    </w:pPr>
    <w:rPr>
      <w:szCs w:val="20"/>
    </w:rPr>
  </w:style>
  <w:style w:type="paragraph" w:customStyle="1" w:styleId="61">
    <w:name w:val="【正文小四号】"/>
    <w:basedOn w:val="1"/>
    <w:qFormat/>
    <w:uiPriority w:val="0"/>
    <w:pPr>
      <w:spacing w:line="360" w:lineRule="auto"/>
      <w:ind w:firstLine="200" w:firstLineChars="200"/>
    </w:pPr>
    <w:rPr>
      <w:kern w:val="0"/>
      <w:sz w:val="24"/>
    </w:rPr>
  </w:style>
  <w:style w:type="paragraph" w:customStyle="1" w:styleId="62">
    <w:name w:val="正文-王恩"/>
    <w:basedOn w:val="1"/>
    <w:qFormat/>
    <w:uiPriority w:val="0"/>
    <w:pPr>
      <w:adjustRightInd w:val="0"/>
      <w:spacing w:line="460" w:lineRule="exact"/>
      <w:ind w:firstLine="200" w:firstLineChars="200"/>
      <w:textAlignment w:val="baseline"/>
    </w:pPr>
    <w:rPr>
      <w:rFonts w:ascii="宋体" w:hAnsi="宋体"/>
      <w:kern w:val="0"/>
      <w:sz w:val="24"/>
      <w:szCs w:val="20"/>
    </w:rPr>
  </w:style>
  <w:style w:type="character" w:customStyle="1" w:styleId="63">
    <w:name w:val="标题 字符"/>
    <w:basedOn w:val="22"/>
    <w:link w:val="16"/>
    <w:qFormat/>
    <w:uiPriority w:val="0"/>
    <w:rPr>
      <w:rFonts w:cstheme="majorBidi"/>
      <w:b/>
      <w:bCs/>
      <w:kern w:val="2"/>
      <w:sz w:val="24"/>
      <w:szCs w:val="32"/>
    </w:rPr>
  </w:style>
  <w:style w:type="paragraph" w:customStyle="1" w:styleId="64">
    <w:name w:val="表头1"/>
    <w:basedOn w:val="1"/>
    <w:next w:val="1"/>
    <w:qFormat/>
    <w:uiPriority w:val="0"/>
    <w:pPr>
      <w:tabs>
        <w:tab w:val="left" w:pos="605"/>
      </w:tabs>
      <w:adjustRightInd w:val="0"/>
      <w:snapToGrid w:val="0"/>
      <w:jc w:val="center"/>
    </w:pPr>
    <w:rPr>
      <w:rFonts w:eastAsia="仿宋_GB2312"/>
      <w:b/>
      <w:szCs w:val="28"/>
    </w:rPr>
  </w:style>
  <w:style w:type="character" w:customStyle="1" w:styleId="65">
    <w:name w:val="cauc-0 Char Char Char Char"/>
    <w:qFormat/>
    <w:uiPriority w:val="0"/>
    <w:rPr>
      <w:rFonts w:ascii="Times New Roman" w:hAnsi="Times New Roman"/>
      <w:kern w:val="2"/>
      <w:sz w:val="24"/>
      <w:szCs w:val="24"/>
      <w:lang w:val="en-US" w:eastAsia="zh-CN" w:bidi="ar-SA"/>
    </w:rPr>
  </w:style>
  <w:style w:type="character" w:customStyle="1" w:styleId="66">
    <w:name w:val="正文文本首行缩进 字符"/>
    <w:basedOn w:val="33"/>
    <w:link w:val="18"/>
    <w:qFormat/>
    <w:uiPriority w:val="0"/>
    <w:rPr>
      <w:kern w:val="2"/>
      <w:sz w:val="21"/>
      <w:szCs w:val="24"/>
    </w:rPr>
  </w:style>
  <w:style w:type="paragraph" w:customStyle="1" w:styleId="67">
    <w:name w:val="biaotou"/>
    <w:basedOn w:val="1"/>
    <w:qFormat/>
    <w:uiPriority w:val="0"/>
    <w:pPr>
      <w:jc w:val="center"/>
    </w:pPr>
    <w:rPr>
      <w:rFonts w:hAnsi="宋体" w:eastAsia="黑体"/>
    </w:rPr>
  </w:style>
  <w:style w:type="table" w:customStyle="1" w:styleId="68">
    <w:name w:val="[表格样式]"/>
    <w:basedOn w:val="20"/>
    <w:qFormat/>
    <w:uiPriority w:val="99"/>
    <w:pPr>
      <w:adjustRightInd w:val="0"/>
      <w:snapToGrid w:val="0"/>
      <w:jc w:val="center"/>
    </w:pPr>
    <w:rPr>
      <w:rFonts w:cstheme="minorBidi"/>
      <w:snapToGrid w:val="0"/>
      <w:sz w:val="21"/>
      <w:szCs w:val="22"/>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69">
    <w:name w:val="Default"/>
    <w:link w:val="139"/>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70">
    <w:name w:val="环评表中文字"/>
    <w:basedOn w:val="1"/>
    <w:qFormat/>
    <w:uiPriority w:val="0"/>
    <w:pPr>
      <w:widowControl/>
      <w:jc w:val="center"/>
    </w:pPr>
    <w:rPr>
      <w:rFonts w:ascii="宋体" w:hAnsi="宋体" w:cs="宋体"/>
      <w:kern w:val="0"/>
      <w:sz w:val="24"/>
      <w:szCs w:val="22"/>
    </w:rPr>
  </w:style>
  <w:style w:type="character" w:customStyle="1" w:styleId="71">
    <w:name w:val="C【表头】 字符"/>
    <w:link w:val="72"/>
    <w:qFormat/>
    <w:uiPriority w:val="0"/>
    <w:rPr>
      <w:rFonts w:eastAsia="黑体" w:cs="宋体"/>
      <w:sz w:val="21"/>
    </w:rPr>
  </w:style>
  <w:style w:type="paragraph" w:customStyle="1" w:styleId="72">
    <w:name w:val="C【表头】"/>
    <w:basedOn w:val="1"/>
    <w:link w:val="71"/>
    <w:qFormat/>
    <w:uiPriority w:val="0"/>
    <w:pPr>
      <w:widowControl/>
      <w:adjustRightInd w:val="0"/>
      <w:snapToGrid w:val="0"/>
      <w:jc w:val="center"/>
    </w:pPr>
    <w:rPr>
      <w:rFonts w:eastAsia="黑体" w:cs="宋体"/>
      <w:kern w:val="0"/>
      <w:szCs w:val="20"/>
    </w:rPr>
  </w:style>
  <w:style w:type="character" w:customStyle="1" w:styleId="73">
    <w:name w:val="C【表中文字】- 字符"/>
    <w:link w:val="74"/>
    <w:qFormat/>
    <w:uiPriority w:val="0"/>
    <w:rPr>
      <w:sz w:val="18"/>
    </w:rPr>
  </w:style>
  <w:style w:type="paragraph" w:customStyle="1" w:styleId="74">
    <w:name w:val="C【表中文字】-"/>
    <w:basedOn w:val="1"/>
    <w:link w:val="73"/>
    <w:qFormat/>
    <w:uiPriority w:val="0"/>
    <w:pPr>
      <w:adjustRightInd w:val="0"/>
      <w:snapToGrid w:val="0"/>
      <w:jc w:val="center"/>
    </w:pPr>
    <w:rPr>
      <w:kern w:val="0"/>
      <w:sz w:val="18"/>
      <w:szCs w:val="20"/>
    </w:rPr>
  </w:style>
  <w:style w:type="paragraph" w:customStyle="1" w:styleId="75">
    <w:name w:val="C表两端"/>
    <w:basedOn w:val="1"/>
    <w:link w:val="76"/>
    <w:qFormat/>
    <w:uiPriority w:val="0"/>
    <w:pPr>
      <w:adjustRightInd w:val="0"/>
      <w:snapToGrid w:val="0"/>
    </w:pPr>
    <w:rPr>
      <w:kern w:val="0"/>
      <w:sz w:val="18"/>
      <w:szCs w:val="20"/>
    </w:rPr>
  </w:style>
  <w:style w:type="character" w:customStyle="1" w:styleId="76">
    <w:name w:val="C表两端 字符"/>
    <w:link w:val="75"/>
    <w:qFormat/>
    <w:locked/>
    <w:uiPriority w:val="0"/>
    <w:rPr>
      <w:sz w:val="18"/>
    </w:rPr>
  </w:style>
  <w:style w:type="table" w:customStyle="1" w:styleId="77">
    <w:name w:val="网格型13"/>
    <w:basedOn w:val="20"/>
    <w:qFormat/>
    <w:uiPriority w:val="59"/>
    <w:pPr>
      <w:jc w:val="center"/>
    </w:pPr>
    <w:rPr>
      <w:rFonts w:ascii="Calibri" w:hAnsi="Calibri"/>
      <w:kern w:val="2"/>
      <w:sz w:val="21"/>
      <w:szCs w:val="22"/>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78">
    <w:name w:val="Table Paragraph"/>
    <w:basedOn w:val="1"/>
    <w:qFormat/>
    <w:uiPriority w:val="1"/>
    <w:pPr>
      <w:autoSpaceDE w:val="0"/>
      <w:autoSpaceDN w:val="0"/>
      <w:jc w:val="left"/>
    </w:pPr>
    <w:rPr>
      <w:rFonts w:ascii="宋体" w:hAnsi="宋体" w:cs="宋体"/>
      <w:kern w:val="0"/>
      <w:sz w:val="22"/>
      <w:szCs w:val="22"/>
      <w:lang w:val="zh-CN"/>
    </w:rPr>
  </w:style>
  <w:style w:type="paragraph" w:customStyle="1" w:styleId="79">
    <w:name w:val="C首行缩进正文"/>
    <w:basedOn w:val="50"/>
    <w:link w:val="80"/>
    <w:qFormat/>
    <w:uiPriority w:val="0"/>
    <w:rPr>
      <w:sz w:val="21"/>
    </w:rPr>
  </w:style>
  <w:style w:type="character" w:customStyle="1" w:styleId="80">
    <w:name w:val="C首行缩进正文 字符"/>
    <w:basedOn w:val="49"/>
    <w:link w:val="79"/>
    <w:qFormat/>
    <w:uiPriority w:val="0"/>
    <w:rPr>
      <w:rFonts w:cs="宋体"/>
      <w:color w:val="000000" w:themeColor="text1"/>
      <w:sz w:val="21"/>
      <w:szCs w:val="24"/>
      <w14:textFill>
        <w14:solidFill>
          <w14:schemeClr w14:val="tx1"/>
        </w14:solidFill>
      </w14:textFill>
    </w:rPr>
  </w:style>
  <w:style w:type="paragraph" w:customStyle="1" w:styleId="81">
    <w:name w:val="Normal (Web)1"/>
    <w:basedOn w:val="1"/>
    <w:next w:val="1"/>
    <w:qFormat/>
    <w:uiPriority w:val="0"/>
    <w:pPr>
      <w:widowControl/>
    </w:pPr>
    <w:rPr>
      <w:rFonts w:ascii="宋体" w:hAnsi="Calibri"/>
      <w:sz w:val="24"/>
      <w:szCs w:val="21"/>
    </w:rPr>
  </w:style>
  <w:style w:type="paragraph" w:customStyle="1" w:styleId="82">
    <w:name w:val="表格内容"/>
    <w:basedOn w:val="1"/>
    <w:qFormat/>
    <w:uiPriority w:val="0"/>
    <w:pPr>
      <w:ind w:left="-44" w:leftChars="-20" w:right="-65" w:rightChars="-27" w:hanging="4" w:hangingChars="2"/>
      <w:jc w:val="center"/>
    </w:pPr>
    <w:rPr>
      <w:rFonts w:ascii="宋体" w:hAnsi="宋体"/>
      <w:color w:val="000000"/>
      <w:sz w:val="28"/>
    </w:rPr>
  </w:style>
  <w:style w:type="character" w:customStyle="1" w:styleId="83">
    <w:name w:val="神-安表格 字符"/>
    <w:link w:val="84"/>
    <w:qFormat/>
    <w:locked/>
    <w:uiPriority w:val="0"/>
    <w:rPr>
      <w:color w:val="000000"/>
      <w:kern w:val="2"/>
      <w:sz w:val="21"/>
      <w:szCs w:val="24"/>
    </w:rPr>
  </w:style>
  <w:style w:type="paragraph" w:customStyle="1" w:styleId="84">
    <w:name w:val="神-安表格"/>
    <w:basedOn w:val="1"/>
    <w:link w:val="83"/>
    <w:qFormat/>
    <w:uiPriority w:val="0"/>
    <w:pPr>
      <w:adjustRightInd w:val="0"/>
      <w:snapToGrid w:val="0"/>
      <w:jc w:val="center"/>
    </w:pPr>
    <w:rPr>
      <w:color w:val="000000"/>
    </w:rPr>
  </w:style>
  <w:style w:type="paragraph" w:customStyle="1" w:styleId="85">
    <w:name w:val="【标头正文】一、二"/>
    <w:basedOn w:val="52"/>
    <w:link w:val="86"/>
    <w:qFormat/>
    <w:uiPriority w:val="0"/>
    <w:pPr>
      <w:adjustRightInd w:val="0"/>
      <w:snapToGrid w:val="0"/>
      <w:spacing w:line="500" w:lineRule="exact"/>
    </w:pPr>
    <w:rPr>
      <w:rFonts w:eastAsia="仿宋" w:cs="Times New Roman"/>
      <w:b/>
      <w:bCs/>
      <w:color w:val="auto"/>
      <w:sz w:val="24"/>
    </w:rPr>
  </w:style>
  <w:style w:type="character" w:customStyle="1" w:styleId="86">
    <w:name w:val="【标头正文】一、二 字符"/>
    <w:basedOn w:val="54"/>
    <w:link w:val="85"/>
    <w:qFormat/>
    <w:uiPriority w:val="0"/>
    <w:rPr>
      <w:rFonts w:eastAsia="仿宋" w:cs="宋体"/>
      <w:b/>
      <w:bCs/>
      <w:color w:val="000000" w:themeColor="text1"/>
      <w:sz w:val="24"/>
      <w:szCs w:val="24"/>
      <w14:textFill>
        <w14:solidFill>
          <w14:schemeClr w14:val="tx1"/>
        </w14:solidFill>
      </w14:textFill>
    </w:rPr>
  </w:style>
  <w:style w:type="paragraph" w:customStyle="1" w:styleId="87">
    <w:name w:val="【正文+】"/>
    <w:basedOn w:val="52"/>
    <w:link w:val="89"/>
    <w:qFormat/>
    <w:uiPriority w:val="0"/>
    <w:pPr>
      <w:adjustRightInd w:val="0"/>
      <w:snapToGrid w:val="0"/>
      <w:spacing w:line="500" w:lineRule="exact"/>
      <w:ind w:firstLine="480"/>
    </w:pPr>
    <w:rPr>
      <w:rFonts w:eastAsia="仿宋"/>
      <w:sz w:val="24"/>
    </w:rPr>
  </w:style>
  <w:style w:type="paragraph" w:customStyle="1" w:styleId="88">
    <w:name w:val="【表中表】"/>
    <w:basedOn w:val="1"/>
    <w:link w:val="90"/>
    <w:qFormat/>
    <w:uiPriority w:val="0"/>
    <w:pPr>
      <w:adjustRightInd w:val="0"/>
      <w:snapToGrid w:val="0"/>
      <w:jc w:val="center"/>
    </w:pPr>
    <w:rPr>
      <w:rFonts w:eastAsia="Times New Roman"/>
      <w:kern w:val="0"/>
    </w:rPr>
  </w:style>
  <w:style w:type="character" w:customStyle="1" w:styleId="89">
    <w:name w:val="【正文+】 字符"/>
    <w:basedOn w:val="54"/>
    <w:link w:val="87"/>
    <w:qFormat/>
    <w:uiPriority w:val="0"/>
    <w:rPr>
      <w:rFonts w:eastAsia="仿宋" w:cs="宋体"/>
      <w:color w:val="000000" w:themeColor="text1"/>
      <w:sz w:val="24"/>
      <w:szCs w:val="24"/>
      <w14:textFill>
        <w14:solidFill>
          <w14:schemeClr w14:val="tx1"/>
        </w14:solidFill>
      </w14:textFill>
    </w:rPr>
  </w:style>
  <w:style w:type="character" w:customStyle="1" w:styleId="90">
    <w:name w:val="【表中表】 字符"/>
    <w:basedOn w:val="22"/>
    <w:link w:val="88"/>
    <w:qFormat/>
    <w:uiPriority w:val="0"/>
    <w:rPr>
      <w:rFonts w:eastAsia="Times New Roman"/>
      <w:sz w:val="21"/>
      <w:szCs w:val="24"/>
    </w:rPr>
  </w:style>
  <w:style w:type="paragraph" w:customStyle="1" w:styleId="91">
    <w:name w:val="AAA首行缩进2字符正文"/>
    <w:basedOn w:val="52"/>
    <w:qFormat/>
    <w:uiPriority w:val="0"/>
    <w:pPr>
      <w:adjustRightInd w:val="0"/>
      <w:snapToGrid w:val="0"/>
      <w:spacing w:line="500" w:lineRule="exact"/>
    </w:pPr>
    <w:rPr>
      <w:rFonts w:eastAsia="仿宋"/>
      <w:sz w:val="24"/>
    </w:rPr>
  </w:style>
  <w:style w:type="character" w:customStyle="1" w:styleId="92">
    <w:name w:val="标题 2 字符"/>
    <w:basedOn w:val="22"/>
    <w:link w:val="3"/>
    <w:qFormat/>
    <w:uiPriority w:val="0"/>
    <w:rPr>
      <w:rFonts w:asciiTheme="majorHAnsi" w:hAnsiTheme="majorHAnsi" w:eastAsiaTheme="majorEastAsia" w:cstheme="majorBidi"/>
      <w:b/>
      <w:bCs/>
      <w:kern w:val="2"/>
      <w:sz w:val="32"/>
      <w:szCs w:val="32"/>
    </w:rPr>
  </w:style>
  <w:style w:type="paragraph" w:customStyle="1" w:styleId="93">
    <w:name w:val="AAA正文1"/>
    <w:basedOn w:val="1"/>
    <w:link w:val="94"/>
    <w:qFormat/>
    <w:uiPriority w:val="0"/>
    <w:pPr>
      <w:adjustRightInd w:val="0"/>
      <w:snapToGrid w:val="0"/>
      <w:spacing w:line="500" w:lineRule="exact"/>
      <w:ind w:firstLine="200" w:firstLineChars="200"/>
    </w:pPr>
    <w:rPr>
      <w:rFonts w:eastAsia="仿宋"/>
      <w:color w:val="000000" w:themeColor="text1"/>
      <w:sz w:val="24"/>
      <w14:textFill>
        <w14:solidFill>
          <w14:schemeClr w14:val="tx1"/>
        </w14:solidFill>
      </w14:textFill>
    </w:rPr>
  </w:style>
  <w:style w:type="character" w:customStyle="1" w:styleId="94">
    <w:name w:val="AAA正文1 字符"/>
    <w:basedOn w:val="22"/>
    <w:link w:val="93"/>
    <w:qFormat/>
    <w:uiPriority w:val="0"/>
    <w:rPr>
      <w:rFonts w:eastAsia="仿宋"/>
      <w:color w:val="000000" w:themeColor="text1"/>
      <w:kern w:val="2"/>
      <w:sz w:val="24"/>
      <w:szCs w:val="24"/>
      <w14:textFill>
        <w14:solidFill>
          <w14:schemeClr w14:val="tx1"/>
        </w14:solidFill>
      </w14:textFill>
    </w:rPr>
  </w:style>
  <w:style w:type="paragraph" w:customStyle="1" w:styleId="95">
    <w:name w:val="AA表头"/>
    <w:basedOn w:val="1"/>
    <w:link w:val="97"/>
    <w:qFormat/>
    <w:uiPriority w:val="0"/>
    <w:pPr>
      <w:adjustRightInd w:val="0"/>
      <w:snapToGrid w:val="0"/>
      <w:jc w:val="center"/>
    </w:pPr>
    <w:rPr>
      <w:rFonts w:eastAsia="仿宋"/>
      <w:b/>
      <w:color w:val="000000" w:themeColor="text1"/>
      <w:sz w:val="24"/>
      <w14:textFill>
        <w14:solidFill>
          <w14:schemeClr w14:val="tx1"/>
        </w14:solidFill>
      </w14:textFill>
    </w:rPr>
  </w:style>
  <w:style w:type="paragraph" w:customStyle="1" w:styleId="96">
    <w:name w:val="A表中表"/>
    <w:basedOn w:val="1"/>
    <w:link w:val="98"/>
    <w:qFormat/>
    <w:uiPriority w:val="0"/>
    <w:pPr>
      <w:adjustRightInd w:val="0"/>
      <w:snapToGrid w:val="0"/>
      <w:jc w:val="center"/>
    </w:pPr>
    <w:rPr>
      <w:rFonts w:eastAsia="仿宋"/>
      <w:color w:val="000000" w:themeColor="text1"/>
      <w14:textFill>
        <w14:solidFill>
          <w14:schemeClr w14:val="tx1"/>
        </w14:solidFill>
      </w14:textFill>
    </w:rPr>
  </w:style>
  <w:style w:type="character" w:customStyle="1" w:styleId="97">
    <w:name w:val="AA表头 字符"/>
    <w:basedOn w:val="22"/>
    <w:link w:val="95"/>
    <w:qFormat/>
    <w:uiPriority w:val="0"/>
    <w:rPr>
      <w:rFonts w:eastAsia="仿宋"/>
      <w:b/>
      <w:color w:val="000000" w:themeColor="text1"/>
      <w:kern w:val="2"/>
      <w:sz w:val="24"/>
      <w:szCs w:val="24"/>
      <w14:textFill>
        <w14:solidFill>
          <w14:schemeClr w14:val="tx1"/>
        </w14:solidFill>
      </w14:textFill>
    </w:rPr>
  </w:style>
  <w:style w:type="character" w:customStyle="1" w:styleId="98">
    <w:name w:val="A表中表 字符"/>
    <w:basedOn w:val="22"/>
    <w:link w:val="96"/>
    <w:qFormat/>
    <w:uiPriority w:val="0"/>
    <w:rPr>
      <w:rFonts w:eastAsia="仿宋"/>
      <w:color w:val="000000" w:themeColor="text1"/>
      <w:kern w:val="2"/>
      <w:sz w:val="21"/>
      <w:szCs w:val="24"/>
      <w14:textFill>
        <w14:solidFill>
          <w14:schemeClr w14:val="tx1"/>
        </w14:solidFill>
      </w14:textFill>
    </w:rPr>
  </w:style>
  <w:style w:type="paragraph" w:customStyle="1" w:styleId="99">
    <w:name w:val="【表头】0"/>
    <w:basedOn w:val="1"/>
    <w:link w:val="101"/>
    <w:qFormat/>
    <w:uiPriority w:val="0"/>
    <w:pPr>
      <w:adjustRightInd w:val="0"/>
      <w:snapToGrid w:val="0"/>
      <w:spacing w:line="400" w:lineRule="exact"/>
      <w:jc w:val="center"/>
    </w:pPr>
    <w:rPr>
      <w:rFonts w:eastAsia="仿宋"/>
      <w:b/>
      <w:sz w:val="24"/>
    </w:rPr>
  </w:style>
  <w:style w:type="paragraph" w:customStyle="1" w:styleId="100">
    <w:name w:val="【表中表】居中"/>
    <w:basedOn w:val="1"/>
    <w:link w:val="103"/>
    <w:qFormat/>
    <w:uiPriority w:val="0"/>
    <w:pPr>
      <w:autoSpaceDE w:val="0"/>
      <w:autoSpaceDN w:val="0"/>
      <w:adjustRightInd w:val="0"/>
      <w:snapToGrid w:val="0"/>
      <w:jc w:val="center"/>
    </w:pPr>
    <w:rPr>
      <w:rFonts w:eastAsia="仿宋"/>
      <w:color w:val="4472C4" w:themeColor="accent1"/>
      <w14:textFill>
        <w14:solidFill>
          <w14:schemeClr w14:val="accent1"/>
        </w14:solidFill>
      </w14:textFill>
    </w:rPr>
  </w:style>
  <w:style w:type="character" w:customStyle="1" w:styleId="101">
    <w:name w:val="【表头】0 字符"/>
    <w:basedOn w:val="22"/>
    <w:link w:val="99"/>
    <w:qFormat/>
    <w:uiPriority w:val="0"/>
    <w:rPr>
      <w:rFonts w:eastAsia="仿宋"/>
      <w:b/>
      <w:kern w:val="2"/>
      <w:sz w:val="24"/>
      <w:szCs w:val="24"/>
    </w:rPr>
  </w:style>
  <w:style w:type="paragraph" w:customStyle="1" w:styleId="102">
    <w:name w:val="表中表-两端"/>
    <w:basedOn w:val="100"/>
    <w:link w:val="105"/>
    <w:qFormat/>
    <w:uiPriority w:val="0"/>
    <w:pPr>
      <w:jc w:val="both"/>
    </w:pPr>
  </w:style>
  <w:style w:type="character" w:customStyle="1" w:styleId="103">
    <w:name w:val="【表中表】居中 字符"/>
    <w:basedOn w:val="22"/>
    <w:link w:val="100"/>
    <w:qFormat/>
    <w:uiPriority w:val="0"/>
    <w:rPr>
      <w:rFonts w:eastAsia="仿宋"/>
      <w:color w:val="4472C4" w:themeColor="accent1"/>
      <w:kern w:val="2"/>
      <w:sz w:val="21"/>
      <w:szCs w:val="24"/>
      <w14:textFill>
        <w14:solidFill>
          <w14:schemeClr w14:val="accent1"/>
        </w14:solidFill>
      </w14:textFill>
    </w:rPr>
  </w:style>
  <w:style w:type="paragraph" w:customStyle="1" w:styleId="104">
    <w:name w:val="一、"/>
    <w:basedOn w:val="1"/>
    <w:link w:val="106"/>
    <w:qFormat/>
    <w:uiPriority w:val="0"/>
    <w:pPr>
      <w:autoSpaceDE w:val="0"/>
      <w:autoSpaceDN w:val="0"/>
      <w:adjustRightInd w:val="0"/>
      <w:snapToGrid w:val="0"/>
      <w:spacing w:line="500" w:lineRule="exact"/>
      <w:ind w:firstLine="482" w:firstLineChars="200"/>
    </w:pPr>
    <w:rPr>
      <w:rFonts w:eastAsia="仿宋"/>
      <w:b/>
      <w:bCs/>
      <w:color w:val="4472C4" w:themeColor="accent1"/>
      <w:kern w:val="0"/>
      <w:sz w:val="24"/>
      <w14:textFill>
        <w14:solidFill>
          <w14:schemeClr w14:val="accent1"/>
        </w14:solidFill>
      </w14:textFill>
    </w:rPr>
  </w:style>
  <w:style w:type="character" w:customStyle="1" w:styleId="105">
    <w:name w:val="表中表-两端 字符"/>
    <w:basedOn w:val="103"/>
    <w:link w:val="102"/>
    <w:qFormat/>
    <w:uiPriority w:val="0"/>
    <w:rPr>
      <w:rFonts w:eastAsia="仿宋"/>
      <w:color w:val="4472C4" w:themeColor="accent1"/>
      <w:kern w:val="2"/>
      <w:sz w:val="21"/>
      <w:szCs w:val="24"/>
      <w14:textFill>
        <w14:solidFill>
          <w14:schemeClr w14:val="accent1"/>
        </w14:solidFill>
      </w14:textFill>
    </w:rPr>
  </w:style>
  <w:style w:type="character" w:customStyle="1" w:styleId="106">
    <w:name w:val="一、 字符"/>
    <w:basedOn w:val="22"/>
    <w:link w:val="104"/>
    <w:qFormat/>
    <w:uiPriority w:val="0"/>
    <w:rPr>
      <w:rFonts w:eastAsia="仿宋"/>
      <w:b/>
      <w:bCs/>
      <w:color w:val="4472C4" w:themeColor="accent1"/>
      <w:sz w:val="24"/>
      <w:szCs w:val="24"/>
      <w14:textFill>
        <w14:solidFill>
          <w14:schemeClr w14:val="accent1"/>
        </w14:solidFill>
      </w14:textFill>
    </w:rPr>
  </w:style>
  <w:style w:type="paragraph" w:customStyle="1" w:styleId="107">
    <w:name w:val="正文新"/>
    <w:basedOn w:val="1"/>
    <w:qFormat/>
    <w:uiPriority w:val="0"/>
    <w:pPr>
      <w:autoSpaceDE w:val="0"/>
      <w:autoSpaceDN w:val="0"/>
      <w:adjustRightInd w:val="0"/>
      <w:spacing w:line="360" w:lineRule="auto"/>
      <w:ind w:firstLine="200" w:firstLineChars="200"/>
    </w:pPr>
    <w:rPr>
      <w:sz w:val="24"/>
      <w:lang w:val="zh-CN"/>
    </w:rPr>
  </w:style>
  <w:style w:type="paragraph" w:customStyle="1" w:styleId="108">
    <w:name w:val="p0"/>
    <w:basedOn w:val="1"/>
    <w:qFormat/>
    <w:uiPriority w:val="0"/>
    <w:pPr>
      <w:widowControl/>
    </w:pPr>
    <w:rPr>
      <w:rFonts w:ascii="宋体"/>
      <w:kern w:val="0"/>
      <w:sz w:val="24"/>
      <w:szCs w:val="21"/>
    </w:rPr>
  </w:style>
  <w:style w:type="paragraph" w:customStyle="1" w:styleId="109">
    <w:name w:val="内容列表"/>
    <w:basedOn w:val="1"/>
    <w:qFormat/>
    <w:uiPriority w:val="0"/>
    <w:pPr>
      <w:spacing w:line="480" w:lineRule="exact"/>
      <w:ind w:firstLine="480" w:firstLineChars="200"/>
    </w:pPr>
    <w:rPr>
      <w:rFonts w:ascii="宋体"/>
      <w:bCs/>
      <w:sz w:val="24"/>
      <w:szCs w:val="22"/>
    </w:rPr>
  </w:style>
  <w:style w:type="character" w:customStyle="1" w:styleId="110">
    <w:name w:val="【正文--】 字符"/>
    <w:link w:val="111"/>
    <w:qFormat/>
    <w:uiPriority w:val="0"/>
    <w:rPr>
      <w:sz w:val="24"/>
      <w:lang w:val="zh-CN" w:eastAsia="zh-CN"/>
    </w:rPr>
  </w:style>
  <w:style w:type="paragraph" w:customStyle="1" w:styleId="111">
    <w:name w:val="【正文--】"/>
    <w:basedOn w:val="1"/>
    <w:link w:val="110"/>
    <w:qFormat/>
    <w:uiPriority w:val="0"/>
    <w:pPr>
      <w:adjustRightInd w:val="0"/>
      <w:snapToGrid w:val="0"/>
      <w:spacing w:line="500" w:lineRule="exact"/>
      <w:ind w:firstLine="200" w:firstLineChars="200"/>
    </w:pPr>
    <w:rPr>
      <w:kern w:val="0"/>
      <w:sz w:val="24"/>
      <w:szCs w:val="20"/>
      <w:lang w:val="zh-CN" w:eastAsia="zh-CN"/>
    </w:rPr>
  </w:style>
  <w:style w:type="character" w:styleId="112">
    <w:name w:val="Placeholder Text"/>
    <w:basedOn w:val="22"/>
    <w:semiHidden/>
    <w:qFormat/>
    <w:uiPriority w:val="99"/>
    <w:rPr>
      <w:color w:val="808080"/>
    </w:rPr>
  </w:style>
  <w:style w:type="character" w:customStyle="1" w:styleId="113">
    <w:name w:val="纯文本 字符"/>
    <w:basedOn w:val="22"/>
    <w:link w:val="8"/>
    <w:qFormat/>
    <w:uiPriority w:val="0"/>
    <w:rPr>
      <w:rFonts w:hAnsi="Courier New" w:cs="Courier New" w:asciiTheme="minorEastAsia"/>
      <w:snapToGrid w:val="0"/>
      <w:kern w:val="0"/>
      <w:sz w:val="24"/>
      <w:szCs w:val="24"/>
    </w:rPr>
  </w:style>
  <w:style w:type="paragraph" w:customStyle="1" w:styleId="114">
    <w:name w:val="- 页码 -"/>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115">
    <w:name w:val="WPSOffice手动目录 1"/>
    <w:qFormat/>
    <w:uiPriority w:val="0"/>
    <w:rPr>
      <w:rFonts w:ascii="Times New Roman" w:hAnsi="Times New Roman" w:eastAsia="宋体" w:cs="Times New Roman"/>
      <w:lang w:val="en-US" w:eastAsia="zh-CN" w:bidi="ar-SA"/>
    </w:rPr>
  </w:style>
  <w:style w:type="paragraph" w:customStyle="1" w:styleId="116">
    <w:name w:val="1表中文字-梁"/>
    <w:basedOn w:val="1"/>
    <w:qFormat/>
    <w:uiPriority w:val="0"/>
    <w:pPr>
      <w:adjustRightInd w:val="0"/>
      <w:snapToGrid w:val="0"/>
      <w:jc w:val="center"/>
    </w:pPr>
    <w:rPr>
      <w:szCs w:val="20"/>
    </w:rPr>
  </w:style>
  <w:style w:type="character" w:customStyle="1" w:styleId="117">
    <w:name w:val="标题 2 Char"/>
    <w:qFormat/>
    <w:uiPriority w:val="0"/>
    <w:rPr>
      <w:rFonts w:ascii="Arial" w:hAnsi="Arial" w:eastAsia="黑体"/>
      <w:b/>
      <w:bCs/>
      <w:sz w:val="32"/>
      <w:szCs w:val="32"/>
      <w:lang w:val="zh-CN" w:eastAsia="zh-CN"/>
    </w:rPr>
  </w:style>
  <w:style w:type="character" w:customStyle="1" w:styleId="118">
    <w:name w:val="【表头】 Char Char"/>
    <w:qFormat/>
    <w:uiPriority w:val="0"/>
    <w:rPr>
      <w:rFonts w:ascii="Times New Roman" w:hAnsi="Times New Roman" w:eastAsia="黑体"/>
      <w:bCs/>
      <w:color w:val="000000" w:themeColor="text1"/>
      <w:sz w:val="24"/>
      <w:szCs w:val="21"/>
      <w14:textFill>
        <w14:solidFill>
          <w14:schemeClr w14:val="tx1"/>
        </w14:solidFill>
      </w14:textFill>
    </w:rPr>
  </w:style>
  <w:style w:type="paragraph" w:customStyle="1" w:styleId="119">
    <w:name w:val="表后"/>
    <w:basedOn w:val="1"/>
    <w:qFormat/>
    <w:uiPriority w:val="0"/>
    <w:pPr>
      <w:spacing w:beforeLines="75" w:after="78" w:afterLines="25" w:line="550" w:lineRule="exact"/>
      <w:ind w:firstLine="200" w:firstLineChars="200"/>
    </w:pPr>
    <w:rPr>
      <w:rFonts w:ascii="Calibri" w:hAnsi="Calibri"/>
      <w:sz w:val="28"/>
    </w:rPr>
  </w:style>
  <w:style w:type="paragraph" w:customStyle="1" w:styleId="120">
    <w:name w:val="《正文》"/>
    <w:basedOn w:val="1"/>
    <w:link w:val="121"/>
    <w:qFormat/>
    <w:uiPriority w:val="0"/>
    <w:pPr>
      <w:spacing w:line="360" w:lineRule="auto"/>
      <w:ind w:firstLine="200" w:firstLineChars="200"/>
    </w:pPr>
    <w:rPr>
      <w:sz w:val="24"/>
    </w:rPr>
  </w:style>
  <w:style w:type="character" w:customStyle="1" w:styleId="121">
    <w:name w:val="《正文》 字符"/>
    <w:link w:val="120"/>
    <w:qFormat/>
    <w:uiPriority w:val="0"/>
    <w:rPr>
      <w:kern w:val="2"/>
      <w:sz w:val="24"/>
      <w:szCs w:val="24"/>
    </w:rPr>
  </w:style>
  <w:style w:type="character" w:customStyle="1" w:styleId="122">
    <w:name w:val="纯文本 字符1"/>
    <w:basedOn w:val="22"/>
    <w:qFormat/>
    <w:uiPriority w:val="0"/>
    <w:rPr>
      <w:rFonts w:hAnsi="Courier New" w:cs="Courier New" w:asciiTheme="minorEastAsia" w:eastAsiaTheme="minorEastAsia"/>
      <w:kern w:val="2"/>
      <w:sz w:val="21"/>
      <w:szCs w:val="24"/>
    </w:rPr>
  </w:style>
  <w:style w:type="paragraph" w:customStyle="1" w:styleId="123">
    <w:name w:val="样式 C首行缩进正文 + 小四 首行缩进:  2 字符"/>
    <w:basedOn w:val="79"/>
    <w:qFormat/>
    <w:uiPriority w:val="0"/>
    <w:pPr>
      <w:ind w:firstLine="480"/>
    </w:pPr>
    <w:rPr>
      <w:szCs w:val="20"/>
    </w:rPr>
  </w:style>
  <w:style w:type="character" w:customStyle="1" w:styleId="124">
    <w:name w:val="bjh-p"/>
    <w:basedOn w:val="22"/>
    <w:qFormat/>
    <w:uiPriority w:val="0"/>
  </w:style>
  <w:style w:type="paragraph" w:customStyle="1" w:styleId="125">
    <w:name w:val="②JM表格 居中 仿宋"/>
    <w:basedOn w:val="1"/>
    <w:next w:val="1"/>
    <w:qFormat/>
    <w:uiPriority w:val="0"/>
    <w:pPr>
      <w:jc w:val="center"/>
    </w:pPr>
    <w:rPr>
      <w:rFonts w:eastAsia="仿宋"/>
    </w:rPr>
  </w:style>
  <w:style w:type="character" w:customStyle="1" w:styleId="126">
    <w:name w:val="正文文本首行缩进 2 字符"/>
    <w:basedOn w:val="42"/>
    <w:link w:val="19"/>
    <w:qFormat/>
    <w:uiPriority w:val="0"/>
    <w:rPr>
      <w:rFonts w:ascii="Times New Roman" w:hAnsi="Times New Roman" w:eastAsia="宋体"/>
      <w:kern w:val="2"/>
      <w:sz w:val="21"/>
      <w:szCs w:val="24"/>
    </w:rPr>
  </w:style>
  <w:style w:type="paragraph" w:customStyle="1" w:styleId="127">
    <w:name w:val="②JM正文"/>
    <w:basedOn w:val="1"/>
    <w:qFormat/>
    <w:uiPriority w:val="0"/>
    <w:pPr>
      <w:spacing w:line="360" w:lineRule="auto"/>
      <w:ind w:firstLine="720" w:firstLineChars="200"/>
      <w:jc w:val="left"/>
    </w:pPr>
  </w:style>
  <w:style w:type="paragraph" w:customStyle="1" w:styleId="128">
    <w:name w:val="表中文字"/>
    <w:basedOn w:val="1"/>
    <w:qFormat/>
    <w:uiPriority w:val="0"/>
    <w:pPr>
      <w:jc w:val="center"/>
    </w:pPr>
    <w:rPr>
      <w:szCs w:val="20"/>
    </w:rPr>
  </w:style>
  <w:style w:type="paragraph" w:customStyle="1" w:styleId="129">
    <w:name w:val="②JM正文 顶格 加粗"/>
    <w:basedOn w:val="1"/>
    <w:next w:val="127"/>
    <w:qFormat/>
    <w:uiPriority w:val="0"/>
    <w:pPr>
      <w:spacing w:line="360" w:lineRule="auto"/>
      <w:jc w:val="left"/>
    </w:pPr>
    <w:rPr>
      <w:b/>
    </w:rPr>
  </w:style>
  <w:style w:type="paragraph" w:customStyle="1" w:styleId="130">
    <w:name w:val="样式正文 Char"/>
    <w:basedOn w:val="1"/>
    <w:qFormat/>
    <w:uiPriority w:val="0"/>
    <w:pPr>
      <w:adjustRightInd w:val="0"/>
      <w:snapToGrid w:val="0"/>
      <w:spacing w:line="360" w:lineRule="auto"/>
      <w:ind w:firstLine="624"/>
    </w:pPr>
    <w:rPr>
      <w:sz w:val="28"/>
      <w:szCs w:val="28"/>
    </w:rPr>
  </w:style>
  <w:style w:type="paragraph" w:customStyle="1" w:styleId="131">
    <w:name w:val="正文格式"/>
    <w:basedOn w:val="1"/>
    <w:qFormat/>
    <w:uiPriority w:val="0"/>
    <w:pPr>
      <w:spacing w:line="360" w:lineRule="auto"/>
      <w:ind w:firstLine="482"/>
    </w:pPr>
    <w:rPr>
      <w:sz w:val="24"/>
    </w:rPr>
  </w:style>
  <w:style w:type="paragraph" w:customStyle="1" w:styleId="132">
    <w:name w:val="表格填充项"/>
    <w:basedOn w:val="1"/>
    <w:qFormat/>
    <w:uiPriority w:val="0"/>
    <w:pPr>
      <w:widowControl/>
      <w:spacing w:line="240" w:lineRule="atLeast"/>
      <w:jc w:val="center"/>
    </w:pPr>
    <w:rPr>
      <w:rFonts w:ascii="宋体" w:hAnsi="宋体" w:cs="宋体"/>
      <w:b/>
      <w:kern w:val="0"/>
      <w:sz w:val="24"/>
    </w:rPr>
  </w:style>
  <w:style w:type="paragraph" w:customStyle="1" w:styleId="133">
    <w:name w:val="UserStyle_0"/>
    <w:basedOn w:val="1"/>
    <w:next w:val="1"/>
    <w:qFormat/>
    <w:uiPriority w:val="0"/>
    <w:pPr>
      <w:spacing w:after="120" w:line="360" w:lineRule="auto"/>
      <w:ind w:firstLine="480" w:firstLineChars="200"/>
      <w:textAlignment w:val="baseline"/>
    </w:pPr>
    <w:rPr>
      <w:rFonts w:ascii="Calibri" w:hAnsi="Calibri"/>
      <w:sz w:val="24"/>
      <w:szCs w:val="22"/>
    </w:rPr>
  </w:style>
  <w:style w:type="character" w:customStyle="1" w:styleId="134">
    <w:name w:val="xl22 Char Char"/>
    <w:link w:val="135"/>
    <w:qFormat/>
    <w:uiPriority w:val="0"/>
    <w:rPr>
      <w:rFonts w:ascii="宋体" w:hAnsi="宋体"/>
      <w:b/>
      <w:sz w:val="24"/>
      <w:szCs w:val="24"/>
    </w:rPr>
  </w:style>
  <w:style w:type="paragraph" w:customStyle="1" w:styleId="135">
    <w:name w:val="xl22"/>
    <w:basedOn w:val="1"/>
    <w:link w:val="134"/>
    <w:qFormat/>
    <w:uiPriority w:val="0"/>
    <w:pPr>
      <w:widowControl/>
      <w:spacing w:before="100" w:after="100"/>
      <w:jc w:val="center"/>
    </w:pPr>
    <w:rPr>
      <w:rFonts w:ascii="宋体" w:hAnsi="宋体"/>
      <w:b/>
      <w:kern w:val="0"/>
      <w:sz w:val="24"/>
    </w:rPr>
  </w:style>
  <w:style w:type="character" w:customStyle="1" w:styleId="136">
    <w:name w:val="Unresolved Mention"/>
    <w:basedOn w:val="22"/>
    <w:semiHidden/>
    <w:unhideWhenUsed/>
    <w:qFormat/>
    <w:uiPriority w:val="99"/>
    <w:rPr>
      <w:color w:val="605E5C"/>
      <w:shd w:val="clear" w:color="auto" w:fill="E1DFDD"/>
    </w:rPr>
  </w:style>
  <w:style w:type="paragraph" w:styleId="137">
    <w:name w:val="List Paragraph"/>
    <w:basedOn w:val="1"/>
    <w:qFormat/>
    <w:uiPriority w:val="34"/>
    <w:pPr>
      <w:ind w:firstLine="420" w:firstLineChars="200"/>
    </w:pPr>
  </w:style>
  <w:style w:type="paragraph" w:customStyle="1" w:styleId="138">
    <w:name w:val="表格正文"/>
    <w:basedOn w:val="1"/>
    <w:qFormat/>
    <w:uiPriority w:val="0"/>
    <w:pPr>
      <w:spacing w:line="320" w:lineRule="exact"/>
      <w:jc w:val="center"/>
    </w:pPr>
    <w:rPr>
      <w:rFonts w:cs="宋体"/>
    </w:rPr>
  </w:style>
  <w:style w:type="character" w:customStyle="1" w:styleId="139">
    <w:name w:val="Default Char"/>
    <w:link w:val="69"/>
    <w:qFormat/>
    <w:locked/>
    <w:uiPriority w:val="0"/>
    <w:rPr>
      <w:rFonts w:ascii="宋体" w:cs="宋体"/>
      <w:color w:val="000000"/>
      <w:sz w:val="24"/>
      <w:szCs w:val="24"/>
    </w:rPr>
  </w:style>
  <w:style w:type="character" w:customStyle="1" w:styleId="140">
    <w:name w:val="正文00 Char"/>
    <w:link w:val="141"/>
    <w:qFormat/>
    <w:uiPriority w:val="0"/>
    <w:rPr>
      <w:kern w:val="2"/>
      <w:sz w:val="24"/>
      <w:szCs w:val="24"/>
    </w:rPr>
  </w:style>
  <w:style w:type="paragraph" w:customStyle="1" w:styleId="141">
    <w:name w:val="正文00"/>
    <w:basedOn w:val="1"/>
    <w:link w:val="140"/>
    <w:qFormat/>
    <w:uiPriority w:val="0"/>
    <w:pPr>
      <w:spacing w:line="360" w:lineRule="auto"/>
      <w:ind w:firstLine="480" w:firstLineChars="200"/>
    </w:pPr>
    <w:rPr>
      <w:sz w:val="24"/>
    </w:rPr>
  </w:style>
  <w:style w:type="character" w:customStyle="1" w:styleId="142">
    <w:name w:val="正文缩进 字符"/>
    <w:link w:val="4"/>
    <w:qFormat/>
    <w:uiPriority w:val="0"/>
    <w:rPr>
      <w:rFonts w:ascii="Calibri" w:hAnsi="Calibri"/>
      <w:kern w:val="2"/>
      <w:sz w:val="24"/>
      <w:szCs w:val="24"/>
    </w:rPr>
  </w:style>
  <w:style w:type="paragraph" w:customStyle="1" w:styleId="143">
    <w:name w:val="Table Text"/>
    <w:basedOn w:val="1"/>
    <w:semiHidden/>
    <w:qFormat/>
    <w:uiPriority w:val="0"/>
    <w:pPr>
      <w:widowControl/>
      <w:kinsoku w:val="0"/>
      <w:autoSpaceDE w:val="0"/>
      <w:autoSpaceDN w:val="0"/>
      <w:adjustRightInd w:val="0"/>
      <w:snapToGrid w:val="0"/>
      <w:jc w:val="left"/>
      <w:textAlignment w:val="baseline"/>
    </w:pPr>
    <w:rPr>
      <w:rFonts w:ascii="宋体" w:hAnsi="宋体" w:cs="宋体"/>
      <w:snapToGrid w:val="0"/>
      <w:color w:val="000000"/>
      <w:kern w:val="0"/>
      <w:sz w:val="24"/>
      <w:lang w:eastAsia="en-US"/>
    </w:rPr>
  </w:style>
  <w:style w:type="paragraph" w:customStyle="1" w:styleId="144">
    <w:name w:val="报告表正文"/>
    <w:basedOn w:val="1"/>
    <w:qFormat/>
    <w:uiPriority w:val="0"/>
    <w:pPr>
      <w:adjustRightInd w:val="0"/>
      <w:spacing w:line="312" w:lineRule="auto"/>
      <w:ind w:left="113" w:right="113" w:firstLine="482"/>
      <w:jc w:val="left"/>
      <w:textAlignment w:val="baseline"/>
    </w:pPr>
    <w:rPr>
      <w:kern w:val="0"/>
      <w:sz w:val="24"/>
      <w:szCs w:val="22"/>
    </w:rPr>
  </w:style>
  <w:style w:type="paragraph" w:customStyle="1" w:styleId="145">
    <w:name w:val="我的表格"/>
    <w:basedOn w:val="1"/>
    <w:next w:val="1"/>
    <w:qFormat/>
    <w:uiPriority w:val="0"/>
    <w:pPr>
      <w:adjustRightInd w:val="0"/>
      <w:snapToGrid w:val="0"/>
      <w:spacing w:beforeLines="10" w:afterLines="10" w:line="240" w:lineRule="atLeast"/>
      <w:jc w:val="center"/>
    </w:pPr>
    <w:rPr>
      <w:kern w:val="0"/>
      <w:szCs w:val="20"/>
    </w:rPr>
  </w:style>
</w:styles>
</file>

<file path=word/_rels/document.xml.rels><?xml version="1.0" encoding="UTF-8" standalone="yes"?>
<Relationships xmlns="http://schemas.openxmlformats.org/package/2006/relationships"><Relationship Id="rId91" Type="http://schemas.openxmlformats.org/officeDocument/2006/relationships/fontTable" Target="fontTable.xml"/><Relationship Id="rId90" Type="http://schemas.openxmlformats.org/officeDocument/2006/relationships/customXml" Target="../customXml/item2.xml"/><Relationship Id="rId9" Type="http://schemas.openxmlformats.org/officeDocument/2006/relationships/footer" Target="footer7.xml"/><Relationship Id="rId89" Type="http://schemas.openxmlformats.org/officeDocument/2006/relationships/customXml" Target="../customXml/item1.xml"/><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jpe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footer" Target="footer6.xml"/><Relationship Id="rId79" Type="http://schemas.openxmlformats.org/officeDocument/2006/relationships/image" Target="media/image66.jpeg"/><Relationship Id="rId78" Type="http://schemas.openxmlformats.org/officeDocument/2006/relationships/image" Target="media/image65.jpeg"/><Relationship Id="rId77" Type="http://schemas.openxmlformats.org/officeDocument/2006/relationships/image" Target="media/image64.jpeg"/><Relationship Id="rId76" Type="http://schemas.openxmlformats.org/officeDocument/2006/relationships/image" Target="media/image63.jpe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jpeg"/><Relationship Id="rId70" Type="http://schemas.openxmlformats.org/officeDocument/2006/relationships/image" Target="media/image57.jpeg"/><Relationship Id="rId7" Type="http://schemas.openxmlformats.org/officeDocument/2006/relationships/footer" Target="footer5.xml"/><Relationship Id="rId69" Type="http://schemas.openxmlformats.org/officeDocument/2006/relationships/image" Target="media/image56.jpeg"/><Relationship Id="rId68" Type="http://schemas.openxmlformats.org/officeDocument/2006/relationships/image" Target="media/image55.jpe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4.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footer" Target="footer3.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jpe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footer" Target="foot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er" Target="foot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wmf"/><Relationship Id="rId23" Type="http://schemas.openxmlformats.org/officeDocument/2006/relationships/oleObject" Target="embeddings/oleObject2.bin"/><Relationship Id="rId22" Type="http://schemas.openxmlformats.org/officeDocument/2006/relationships/image" Target="media/image10.wmf"/><Relationship Id="rId21" Type="http://schemas.openxmlformats.org/officeDocument/2006/relationships/oleObject" Target="embeddings/oleObject1.bin"/><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emf"/><Relationship Id="rId15" Type="http://schemas.openxmlformats.org/officeDocument/2006/relationships/package" Target="embeddings/Microsoft_Visio___1.vsdx"/><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DBAE633-6B8A-4E36-ABBC-62399998F408}">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130</Pages>
  <Words>27585</Words>
  <Characters>30069</Characters>
  <Lines>2733</Lines>
  <Paragraphs>2506</Paragraphs>
  <TotalTime>22</TotalTime>
  <ScaleCrop>false</ScaleCrop>
  <LinksUpToDate>false</LinksUpToDate>
  <CharactersWithSpaces>55148</CharactersWithSpaces>
  <Application>WPS Office_12.8.2.1112_F1E327BC-269C-435d-A152-05C5408002CA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2025-10-21T23:26:00Z</dcterms:created>
  <dc:creator>Administrator</dc:creator>
  <cp:lastModifiedBy>殊途同归</cp:lastModifiedBy>
  <cp:lastPrinted>2025-09-15T17:11:00Z</cp:lastPrinted>
  <dcterms:modified xsi:type="dcterms:W3CDTF">2025-10-27T09:45:43Z</dcterms:modified>
  <dc:title>附件2</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2052-12.8.2.1112</vt:lpwstr>
  </property>
  <property fmtid="{D5CDD505-2E9C-101B-9397-08002B2CF9AE}" pid="3" name="ICV">
    <vt:lpwstr>10CC8709EB13554706C3FE68CF0CE261_42</vt:lpwstr>
  </property>
</Properties>
</file>