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60F1"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仿宋" w:hAnsi="仿宋" w:eastAsia="仿宋" w:cs="宋体"/>
          <w:color w:val="0000FF"/>
          <w:highlight w:val="none"/>
        </w:rPr>
      </w:pPr>
    </w:p>
    <w:p w14:paraId="7D45C811"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仿宋" w:hAnsi="仿宋" w:eastAsia="仿宋" w:cs="宋体"/>
          <w:color w:val="0000FF"/>
          <w:highlight w:val="none"/>
        </w:rPr>
      </w:pPr>
    </w:p>
    <w:p w14:paraId="446DD8DC">
      <w:pPr>
        <w:autoSpaceDE w:val="0"/>
        <w:autoSpaceDN w:val="0"/>
        <w:adjustRightInd w:val="0"/>
        <w:spacing w:line="240" w:lineRule="auto"/>
        <w:ind w:right="318" w:rightChars="100" w:firstLine="0" w:firstLineChars="0"/>
        <w:jc w:val="right"/>
        <w:rPr>
          <w:rFonts w:hint="eastAsia" w:ascii="仿宋" w:hAnsi="仿宋" w:eastAsia="仿宋" w:cs="宋体"/>
          <w:color w:val="auto"/>
          <w:highlight w:val="none"/>
        </w:rPr>
      </w:pPr>
      <w:r>
        <w:rPr>
          <w:rFonts w:hint="eastAsia" w:ascii="Times New Roman" w:hAnsi="Times New Roman" w:eastAsia="仿宋" w:cs="Times New Roman"/>
        </w:rPr>
        <w:t>鹤环许〔2025〕</w:t>
      </w:r>
      <w:r>
        <w:rPr>
          <w:rFonts w:hint="eastAsia" w:ascii="Times New Roman" w:hAnsi="Times New Roman" w:eastAsia="仿宋" w:cs="Times New Roman"/>
          <w:lang w:val="en-US" w:eastAsia="zh-CN"/>
        </w:rPr>
        <w:t>26</w:t>
      </w:r>
      <w:r>
        <w:rPr>
          <w:rFonts w:hint="eastAsia" w:ascii="Times New Roman" w:hAnsi="Times New Roman" w:eastAsia="仿宋" w:cs="Times New Roman"/>
        </w:rPr>
        <w:t>号</w:t>
      </w:r>
    </w:p>
    <w:p w14:paraId="665DE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宋体"/>
          <w:color w:val="0000FF"/>
          <w:highlight w:val="none"/>
        </w:rPr>
      </w:pPr>
    </w:p>
    <w:p w14:paraId="0981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hanging="438" w:hangingChars="10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bookmarkStart w:id="0" w:name="_Hlk199333549"/>
      <w:r>
        <w:rPr>
          <w:rFonts w:hint="eastAsia" w:ascii="方正小标宋简体" w:hAnsi="宋体" w:eastAsia="方正小标宋简体"/>
          <w:sz w:val="44"/>
          <w:szCs w:val="44"/>
        </w:rPr>
        <w:t>关于鹤岗市坦鑫洗煤厂项目</w:t>
      </w:r>
    </w:p>
    <w:bookmarkEnd w:id="0"/>
    <w:p w14:paraId="06F2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hanging="438" w:hangingChars="10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环境影响报告表的批复</w:t>
      </w:r>
    </w:p>
    <w:p w14:paraId="43671B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</w:rPr>
      </w:pPr>
    </w:p>
    <w:p w14:paraId="6DB3C3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鹤岗市坦鑫煤炭销售有限公司：</w:t>
      </w:r>
    </w:p>
    <w:p w14:paraId="0B574E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  <w:color w:val="FF0000"/>
        </w:rPr>
      </w:pPr>
      <w:r>
        <w:rPr>
          <w:rFonts w:hint="eastAsia"/>
        </w:rPr>
        <w:t>你单位报送的《鹤岗市坦鑫洗煤厂项目环境影响报告表》（以下简称《报告表》）收悉。结合鹤岗市环境技术中心技术评估意见，经研究，提出如下审批意见：</w:t>
      </w:r>
    </w:p>
    <w:p w14:paraId="32CB36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36" w:firstLineChars="200"/>
        <w:jc w:val="both"/>
        <w:textAlignment w:val="auto"/>
        <w:rPr>
          <w:rFonts w:eastAsia="仿宋"/>
          <w:sz w:val="32"/>
          <w:szCs w:val="32"/>
          <w:lang w:val="en-GB"/>
        </w:rPr>
      </w:pPr>
      <w:r>
        <w:rPr>
          <w:rFonts w:eastAsia="黑体"/>
          <w:b w:val="0"/>
          <w:bCs/>
          <w:sz w:val="32"/>
          <w:szCs w:val="32"/>
        </w:rPr>
        <w:t>一、项目基本情况</w:t>
      </w:r>
    </w:p>
    <w:p w14:paraId="39EF98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项目建设性质为新建，建设地点位于黑龙江省鹤岗市兴安区红旗镇峻丰村，项目厂区占地面积</w:t>
      </w:r>
      <w:r>
        <w:rPr>
          <w:rFonts w:ascii="Times New Roman" w:hAnsi="Times New Roman" w:eastAsia="仿宋" w:cs="Times New Roman"/>
        </w:rPr>
        <w:t>45000</w:t>
      </w:r>
      <w:r>
        <w:rPr>
          <w:rFonts w:hint="eastAsia" w:ascii="Times New Roman" w:hAnsi="Times New Roman" w:eastAsia="仿宋" w:cs="Times New Roman"/>
        </w:rPr>
        <w:t>m</w:t>
      </w:r>
      <w:r>
        <w:rPr>
          <w:rFonts w:hint="eastAsia" w:ascii="Times New Roman" w:hAnsi="Times New Roman" w:eastAsia="仿宋" w:cs="Times New Roman"/>
          <w:vertAlign w:val="superscript"/>
        </w:rPr>
        <w:t>2</w:t>
      </w:r>
      <w:r>
        <w:rPr>
          <w:rFonts w:hint="eastAsia" w:ascii="Times New Roman" w:hAnsi="Times New Roman" w:eastAsia="仿宋" w:cs="Times New Roman"/>
        </w:rPr>
        <w:t>。新建1条跳汰法原煤洗选生产线，1条矸石洗选生产线，厂区内设有生产</w:t>
      </w:r>
      <w:r>
        <w:rPr>
          <w:rFonts w:hint="eastAsia" w:ascii="Times New Roman" w:hAnsi="Times New Roman" w:cs="Times New Roman"/>
          <w:color w:val="auto"/>
          <w:lang w:eastAsia="zh-CN"/>
        </w:rPr>
        <w:t>车</w:t>
      </w:r>
      <w:r>
        <w:rPr>
          <w:rFonts w:hint="eastAsia" w:ascii="Times New Roman" w:hAnsi="Times New Roman" w:eastAsia="仿宋" w:cs="Times New Roman"/>
          <w:color w:val="auto"/>
        </w:rPr>
        <w:t>间、综合用房、原煤堆放库、精煤堆放库中煤堆放库、矸石堆放库</w:t>
      </w:r>
      <w:r>
        <w:rPr>
          <w:rFonts w:hint="eastAsia" w:ascii="Times New Roman" w:hAnsi="Times New Roman" w:cs="Times New Roman"/>
          <w:color w:val="auto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</w:rPr>
        <w:t>煤泥暂存池</w:t>
      </w:r>
      <w:r>
        <w:rPr>
          <w:rFonts w:hint="eastAsia" w:ascii="Times New Roman" w:hAnsi="Times New Roman" w:cs="Times New Roman"/>
          <w:color w:val="auto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</w:rPr>
        <w:t>循环沉淀池</w:t>
      </w:r>
      <w:r>
        <w:rPr>
          <w:rFonts w:hint="eastAsia" w:ascii="Times New Roman" w:hAnsi="Times New Roman" w:cs="Times New Roman"/>
          <w:color w:val="auto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</w:rPr>
        <w:t>初期雨水收集池</w:t>
      </w:r>
      <w:r>
        <w:rPr>
          <w:rFonts w:hint="eastAsia" w:ascii="Times New Roman" w:hAnsi="Times New Roman" w:cs="Times New Roman"/>
          <w:color w:val="auto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</w:rPr>
        <w:t>事故浓缩</w:t>
      </w:r>
      <w:r>
        <w:rPr>
          <w:rFonts w:hint="eastAsia" w:ascii="Times New Roman" w:hAnsi="Times New Roman" w:cs="Times New Roman"/>
          <w:color w:val="auto"/>
          <w:lang w:eastAsia="zh-CN"/>
        </w:rPr>
        <w:t>机和危废贮存点</w:t>
      </w:r>
      <w:r>
        <w:rPr>
          <w:rFonts w:hint="eastAsia" w:ascii="Times New Roman" w:hAnsi="Times New Roman" w:eastAsia="仿宋" w:cs="Times New Roman"/>
          <w:color w:val="auto"/>
        </w:rPr>
        <w:t>等。项目建设完成后年洗选原煤30万吨，年洗选矸石5万吨。项目</w:t>
      </w:r>
      <w:r>
        <w:rPr>
          <w:rFonts w:hint="eastAsia" w:ascii="Times New Roman" w:hAnsi="Times New Roman" w:eastAsia="仿宋" w:cs="Times New Roman"/>
        </w:rPr>
        <w:t>总投资</w:t>
      </w:r>
      <w:r>
        <w:rPr>
          <w:rFonts w:hint="eastAsia" w:ascii="Times New Roman" w:hAnsi="Times New Roman" w:cs="Times New Roman"/>
          <w:lang w:eastAsia="zh-CN"/>
        </w:rPr>
        <w:t>为</w:t>
      </w:r>
      <w:r>
        <w:rPr>
          <w:rFonts w:ascii="Times New Roman" w:hAnsi="Times New Roman" w:eastAsia="仿宋" w:cs="Times New Roman"/>
        </w:rPr>
        <w:t>1200</w:t>
      </w:r>
      <w:r>
        <w:rPr>
          <w:rFonts w:hint="eastAsia" w:ascii="Times New Roman" w:hAnsi="Times New Roman" w:eastAsia="仿宋" w:cs="Times New Roman"/>
        </w:rPr>
        <w:t>万元，</w:t>
      </w:r>
      <w:r>
        <w:rPr>
          <w:rFonts w:hint="eastAsia" w:ascii="Times New Roman" w:hAnsi="Times New Roman" w:cs="Times New Roman"/>
          <w:lang w:eastAsia="zh-CN"/>
        </w:rPr>
        <w:t>其中</w:t>
      </w:r>
      <w:r>
        <w:rPr>
          <w:rFonts w:hint="eastAsia" w:ascii="Times New Roman" w:hAnsi="Times New Roman" w:eastAsia="仿宋" w:cs="Times New Roman"/>
        </w:rPr>
        <w:t>环保投资</w:t>
      </w:r>
      <w:r>
        <w:rPr>
          <w:rFonts w:hint="eastAsia" w:ascii="Times New Roman" w:hAnsi="Times New Roman" w:cs="Times New Roman"/>
          <w:lang w:eastAsia="zh-CN"/>
        </w:rPr>
        <w:t>为</w:t>
      </w:r>
      <w:r>
        <w:rPr>
          <w:rFonts w:ascii="Times New Roman" w:hAnsi="Times New Roman" w:eastAsia="仿宋" w:cs="Times New Roman"/>
        </w:rPr>
        <w:t>53.5</w:t>
      </w:r>
      <w:r>
        <w:rPr>
          <w:rFonts w:hint="eastAsia" w:ascii="Times New Roman" w:hAnsi="Times New Roman" w:eastAsia="仿宋" w:cs="Times New Roman"/>
        </w:rPr>
        <w:t>万元。</w:t>
      </w:r>
    </w:p>
    <w:p w14:paraId="4E3548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在全面落实《报告表》提出的各项污染防治措施前提下，建设项目对环境的不利影响可得到缓解和控制。因此，我局原则同意《报告表》中所列建设项目的性质、规模、地点和拟采取的环境保护措施。</w:t>
      </w:r>
    </w:p>
    <w:p w14:paraId="0D5A6B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36" w:firstLineChars="200"/>
        <w:jc w:val="both"/>
        <w:textAlignment w:val="auto"/>
        <w:rPr>
          <w:rFonts w:hint="eastAsia" w:eastAsia="黑体"/>
          <w:b w:val="0"/>
          <w:bCs/>
          <w:sz w:val="32"/>
          <w:szCs w:val="32"/>
        </w:rPr>
      </w:pPr>
      <w:r>
        <w:rPr>
          <w:rFonts w:hint="eastAsia" w:eastAsia="黑体"/>
          <w:b w:val="0"/>
          <w:bCs/>
          <w:sz w:val="32"/>
          <w:szCs w:val="32"/>
        </w:rPr>
        <w:t>二、项目设计、建设和运营管理中应重点做好的工作</w:t>
      </w:r>
    </w:p>
    <w:p w14:paraId="1B7F35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仿宋"/>
        </w:rPr>
      </w:pPr>
      <w:r>
        <w:rPr>
          <w:rFonts w:hint="eastAsia" w:ascii="楷体" w:hAnsi="楷体" w:eastAsia="楷体" w:cs="楷体"/>
        </w:rPr>
        <w:t>（一）落实大气污染防治措施。</w:t>
      </w:r>
      <w:r>
        <w:rPr>
          <w:rFonts w:hint="eastAsia" w:ascii="Times New Roman" w:hAnsi="Times New Roman" w:eastAsia="仿宋" w:cs="Times New Roman"/>
        </w:rPr>
        <w:t>施工期设置围挡，粉性物料集中地点存放并加盖苫布。</w:t>
      </w:r>
      <w:r>
        <w:rPr>
          <w:rFonts w:hint="eastAsia" w:ascii="Times New Roman" w:hAnsi="Times New Roman" w:cs="Times New Roman"/>
          <w:lang w:eastAsia="zh-CN"/>
        </w:rPr>
        <w:t>定期洒水降尘</w:t>
      </w:r>
      <w:r>
        <w:rPr>
          <w:rFonts w:hint="eastAsia" w:ascii="Times New Roman" w:hAnsi="Times New Roman" w:eastAsia="仿宋" w:cs="Times New Roman"/>
        </w:rPr>
        <w:t>。</w:t>
      </w:r>
      <w:r>
        <w:rPr>
          <w:rFonts w:hint="eastAsia" w:ascii="Times New Roman" w:hAnsi="Times New Roman" w:cs="Times New Roman"/>
          <w:lang w:eastAsia="zh-CN"/>
        </w:rPr>
        <w:t>运营期间，原煤堆放库、</w:t>
      </w:r>
      <w:r>
        <w:rPr>
          <w:rFonts w:hint="eastAsia" w:ascii="Times New Roman" w:hAnsi="Times New Roman" w:cs="Times New Roman"/>
          <w:color w:val="auto"/>
          <w:lang w:eastAsia="zh-CN"/>
        </w:rPr>
        <w:t>精煤堆放库、中煤堆放库、矸石堆放库全封闭</w:t>
      </w:r>
      <w:r>
        <w:rPr>
          <w:rFonts w:hint="eastAsia" w:ascii="Times New Roman" w:hAnsi="Times New Roman" w:eastAsia="仿宋" w:cs="Times New Roman"/>
          <w:color w:val="auto"/>
        </w:rPr>
        <w:t>，同时对厂区地面进行硬化、设置喷淋设施等，并定期打扫车间地面，保持地面清洁</w:t>
      </w:r>
      <w:r>
        <w:rPr>
          <w:rFonts w:hint="eastAsia" w:ascii="Times New Roman" w:hAnsi="Times New Roman" w:cs="Times New Roman"/>
          <w:color w:val="auto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</w:rPr>
        <w:t>在运输和转运工段采取输送带全密闭、减小输送高度、且运输过程中采用苫布覆盖、限速、转运点设置洒水喷淋等降尘措施</w:t>
      </w:r>
      <w:r>
        <w:rPr>
          <w:rFonts w:hint="eastAsia" w:ascii="Times New Roman" w:hAnsi="Times New Roman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</w:rPr>
        <w:t>采取上述措施后，厂界无组织粉尘排放浓度应满足《煤炭工业污染物排放标准》</w:t>
      </w:r>
      <w:r>
        <w:rPr>
          <w:rFonts w:hint="eastAsia" w:ascii="Times New Roman" w:hAnsi="Times New Roman" w:eastAsia="仿宋" w:cs="Times New Roman"/>
        </w:rPr>
        <w:t>（GB20426-2006）表5煤炭工业无组织排放限值。</w:t>
      </w:r>
    </w:p>
    <w:p w14:paraId="7F3A7D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（二）落实水污染防治措施。</w:t>
      </w:r>
      <w:r>
        <w:rPr>
          <w:rFonts w:hint="eastAsia"/>
        </w:rPr>
        <w:t>施工废水经沉淀池处理后回用，不外排。生活污水排入厂区内防渗旱厕，定期清掏，外运堆肥，不外排</w:t>
      </w:r>
      <w:r>
        <w:rPr>
          <w:rFonts w:hint="eastAsia"/>
          <w:lang w:eastAsia="zh-CN"/>
        </w:rPr>
        <w:t>。</w:t>
      </w:r>
      <w:r>
        <w:rPr>
          <w:rFonts w:hint="eastAsia"/>
          <w:color w:val="auto"/>
          <w:lang w:eastAsia="zh-CN"/>
        </w:rPr>
        <w:t>运营期</w:t>
      </w:r>
      <w:r>
        <w:rPr>
          <w:rFonts w:hint="eastAsia"/>
          <w:color w:val="auto"/>
        </w:rPr>
        <w:t>原煤洗选废水、煤矸石洗选废水、压滤机清洗废水、车间地面冲洗废水和车辆冲洗废水排入循环沉淀池，经浓缩机处理后回用于生产，</w:t>
      </w:r>
      <w:r>
        <w:rPr>
          <w:rFonts w:hint="eastAsia"/>
        </w:rPr>
        <w:t>不外排</w:t>
      </w:r>
      <w:r>
        <w:rPr>
          <w:rFonts w:hint="eastAsia"/>
          <w:lang w:eastAsia="zh-CN"/>
        </w:rPr>
        <w:t>。</w:t>
      </w:r>
      <w:r>
        <w:rPr>
          <w:rFonts w:hint="eastAsia"/>
        </w:rPr>
        <w:t>收集后的雨水导入初期雨水收集池，沉淀后用于厂区洒水抑尘，不外排。地下水落实源头控制、分区防控、污染监控、应急响应等污染防控措施。</w:t>
      </w:r>
    </w:p>
    <w:p w14:paraId="618044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仿宋"/>
        </w:rPr>
      </w:pPr>
      <w:r>
        <w:rPr>
          <w:rFonts w:hint="eastAsia" w:ascii="楷体" w:hAnsi="楷体" w:eastAsia="楷体" w:cs="楷体"/>
        </w:rPr>
        <w:t>（三）落实隔声降噪措施。</w:t>
      </w:r>
      <w:r>
        <w:rPr>
          <w:rFonts w:hint="eastAsia" w:ascii="Times New Roman" w:hAnsi="Times New Roman" w:eastAsia="仿宋" w:cs="Times New Roman"/>
        </w:rPr>
        <w:t>施工期加强施工管理，合理安排作业时间</w:t>
      </w:r>
      <w:r>
        <w:rPr>
          <w:rFonts w:hint="eastAsia" w:ascii="Times New Roman" w:hAnsi="Times New Roman" w:eastAsia="仿宋" w:cs="Times New Roman"/>
          <w:lang w:eastAsia="zh-CN"/>
        </w:rPr>
        <w:t>。应采用低噪声施工设备和噪声低的施工方法。在高噪声设备周围设置屏蔽。运营期</w:t>
      </w:r>
      <w:r>
        <w:rPr>
          <w:rFonts w:hint="eastAsia" w:ascii="Times New Roman" w:hAnsi="Times New Roman" w:eastAsia="仿宋" w:cs="Times New Roman"/>
        </w:rPr>
        <w:t>落实噪声污染防治措施，生产过程采取隔声、减振等措施，厂界噪声值应满足《工业企业厂界环境噪声排放标准》（GB1234-2008）表1中2类标准。</w:t>
      </w:r>
    </w:p>
    <w:p w14:paraId="7A0F4E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仿宋"/>
        </w:rPr>
      </w:pPr>
      <w:r>
        <w:rPr>
          <w:rFonts w:hint="eastAsia" w:ascii="楷体" w:hAnsi="楷体" w:eastAsia="楷体" w:cs="楷体"/>
        </w:rPr>
        <w:t>（四）落实固体废物处理措施。施</w:t>
      </w:r>
      <w:r>
        <w:rPr>
          <w:rFonts w:hint="eastAsia" w:cs="仿宋"/>
        </w:rPr>
        <w:t>工期</w:t>
      </w:r>
      <w:r>
        <w:rPr>
          <w:rFonts w:hint="eastAsia" w:cs="仿宋"/>
          <w:lang w:eastAsia="zh-CN"/>
        </w:rPr>
        <w:t>，</w:t>
      </w:r>
      <w:r>
        <w:rPr>
          <w:rFonts w:hint="eastAsia" w:cs="仿宋"/>
        </w:rPr>
        <w:t>生活垃圾集中送往环卫部门指</w:t>
      </w:r>
      <w:bookmarkStart w:id="1" w:name="_GoBack"/>
      <w:bookmarkEnd w:id="1"/>
      <w:r>
        <w:rPr>
          <w:rFonts w:hint="eastAsia" w:cs="仿宋"/>
        </w:rPr>
        <w:t>定的地点处置</w:t>
      </w:r>
      <w:r>
        <w:rPr>
          <w:rFonts w:hint="eastAsia" w:cs="仿宋"/>
          <w:lang w:eastAsia="zh-CN"/>
        </w:rPr>
        <w:t>，</w:t>
      </w:r>
      <w:r>
        <w:rPr>
          <w:rFonts w:hint="eastAsia" w:cs="仿宋"/>
        </w:rPr>
        <w:t>建筑垃圾应及时清运至指定地点处置</w:t>
      </w:r>
      <w:r>
        <w:rPr>
          <w:rFonts w:hint="eastAsia" w:cs="仿宋"/>
          <w:lang w:eastAsia="zh-CN"/>
        </w:rPr>
        <w:t>。运营期，</w:t>
      </w:r>
      <w:r>
        <w:rPr>
          <w:rFonts w:hint="eastAsia" w:cs="仿宋"/>
        </w:rPr>
        <w:t>维修、养护设备产生的废矿物油</w:t>
      </w:r>
      <w:r>
        <w:rPr>
          <w:rFonts w:hint="eastAsia" w:cs="仿宋"/>
          <w:lang w:eastAsia="zh-CN"/>
        </w:rPr>
        <w:t>、</w:t>
      </w:r>
      <w:r>
        <w:rPr>
          <w:rFonts w:hint="eastAsia" w:cs="仿宋"/>
        </w:rPr>
        <w:t>废弃含油抹布及劳保用品</w:t>
      </w:r>
      <w:r>
        <w:rPr>
          <w:rFonts w:hint="eastAsia" w:cs="仿宋"/>
          <w:lang w:eastAsia="zh-CN"/>
        </w:rPr>
        <w:t>集中</w:t>
      </w:r>
      <w:r>
        <w:rPr>
          <w:rFonts w:hint="eastAsia" w:cs="仿宋"/>
        </w:rPr>
        <w:t>收集，暂存危险废物贮存点，定期委托有资质单位处置</w:t>
      </w:r>
      <w:r>
        <w:rPr>
          <w:rFonts w:hint="eastAsia" w:cs="仿宋"/>
          <w:lang w:eastAsia="zh-CN"/>
        </w:rPr>
        <w:t>。</w:t>
      </w:r>
      <w:r>
        <w:rPr>
          <w:rFonts w:hint="eastAsia" w:cs="仿宋"/>
        </w:rPr>
        <w:t>沉淀池、雨水收集池沉渣经晾干后集中收集，定期外售综合利用</w:t>
      </w:r>
      <w:r>
        <w:rPr>
          <w:rFonts w:hint="eastAsia" w:cs="仿宋"/>
          <w:lang w:eastAsia="zh-CN"/>
        </w:rPr>
        <w:t>。</w:t>
      </w:r>
      <w:r>
        <w:rPr>
          <w:rFonts w:hint="eastAsia" w:cs="仿宋"/>
        </w:rPr>
        <w:t>生活垃圾集中收集，由市政部门统一处理</w:t>
      </w:r>
      <w:r>
        <w:rPr>
          <w:rFonts w:cs="仿宋"/>
        </w:rPr>
        <w:t>。</w:t>
      </w:r>
    </w:p>
    <w:p w14:paraId="6C8E9E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（五）加强环境风险防范。</w:t>
      </w:r>
      <w:r>
        <w:rPr>
          <w:rFonts w:hint="eastAsia"/>
        </w:rPr>
        <w:t>严格落实《报告表》提出的风险防范措施，针对可能发生的突发环境事件，建立应急联动机制，制定环境风险事故应急预案，定期组织开展应急演练。严格落实源头防控措施，防止发生大气、水等污染事件；委托有相应资质的单位对环保设备设施进行设计、施工，建设、运行过程中落实安全生产工作要求，坚决杜绝安全事故问题发生。</w:t>
      </w:r>
    </w:p>
    <w:p w14:paraId="5060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/>
        </w:rPr>
      </w:pPr>
      <w:r>
        <w:rPr>
          <w:rFonts w:hint="eastAsia" w:cs="仿宋"/>
        </w:rPr>
        <w:t>三、项目建设必须严格执行配套的环境保护设施与主体工程同时设计、同时施工、同时投产使用的环境保护“三同时”制度。项目竣工后，须按程序实施自主环境保护竣工验收，未经验收或者验收不合格的，不得投入使用。</w:t>
      </w:r>
    </w:p>
    <w:p w14:paraId="41CD7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/>
        </w:rPr>
      </w:pPr>
      <w:r>
        <w:rPr>
          <w:rFonts w:hint="eastAsia" w:cs="仿宋"/>
        </w:rPr>
        <w:t>四、《</w:t>
      </w:r>
      <w:r>
        <w:rPr>
          <w:rFonts w:hint="eastAsia" w:cs="仿宋"/>
          <w:lang w:eastAsia="zh-CN"/>
        </w:rPr>
        <w:t>报告表</w:t>
      </w:r>
      <w:r>
        <w:rPr>
          <w:rFonts w:hint="eastAsia" w:cs="仿宋"/>
        </w:rPr>
        <w:t>》经批准后，项目的性质、规模、地点或者防治污染、防止生态破坏的措施发生重大变动的，应当重新报批该项目的《</w:t>
      </w:r>
      <w:r>
        <w:rPr>
          <w:rFonts w:hint="eastAsia" w:cs="仿宋"/>
          <w:lang w:eastAsia="zh-CN"/>
        </w:rPr>
        <w:t>报告表</w:t>
      </w:r>
      <w:r>
        <w:rPr>
          <w:rFonts w:hint="eastAsia" w:cs="仿宋"/>
        </w:rPr>
        <w:t>》。自《</w:t>
      </w:r>
      <w:r>
        <w:rPr>
          <w:rFonts w:hint="eastAsia" w:cs="仿宋"/>
          <w:lang w:eastAsia="zh-CN"/>
        </w:rPr>
        <w:t>报告表</w:t>
      </w:r>
      <w:r>
        <w:rPr>
          <w:rFonts w:hint="eastAsia" w:cs="仿宋"/>
        </w:rPr>
        <w:t>》批复文件批准之日起，如超过五年方决定开工建设的，《</w:t>
      </w:r>
      <w:r>
        <w:rPr>
          <w:rFonts w:hint="eastAsia" w:cs="仿宋"/>
          <w:lang w:eastAsia="zh-CN"/>
        </w:rPr>
        <w:t>报告表</w:t>
      </w:r>
      <w:r>
        <w:rPr>
          <w:rFonts w:hint="eastAsia" w:cs="仿宋"/>
        </w:rPr>
        <w:t>》应当重新审核。</w:t>
      </w:r>
    </w:p>
    <w:p w14:paraId="32E22F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（此页无正文）</w:t>
      </w:r>
    </w:p>
    <w:p w14:paraId="5CC99D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  <w:lang w:eastAsia="zh-CN"/>
        </w:rPr>
      </w:pPr>
    </w:p>
    <w:p w14:paraId="7BDB20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  <w:lang w:eastAsia="zh-CN"/>
        </w:rPr>
      </w:pPr>
    </w:p>
    <w:p w14:paraId="0031EE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  <w:lang w:eastAsia="zh-CN"/>
        </w:rPr>
      </w:pPr>
    </w:p>
    <w:p w14:paraId="641E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954" w:rightChars="300" w:firstLine="0" w:firstLineChars="0"/>
        <w:jc w:val="right"/>
        <w:textAlignment w:val="auto"/>
        <w:rPr>
          <w:rFonts w:hint="eastAsia"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鹤岗市生态环境局</w:t>
      </w:r>
    </w:p>
    <w:p w14:paraId="30121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954" w:rightChars="300" w:firstLine="0" w:firstLineChars="0"/>
        <w:jc w:val="right"/>
        <w:textAlignment w:val="auto"/>
        <w:rPr>
          <w:rFonts w:hint="eastAsia"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2025年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27</w:t>
      </w:r>
      <w:r>
        <w:rPr>
          <w:rFonts w:hint="eastAsia" w:ascii="Times New Roman" w:hAnsi="Times New Roman" w:eastAsia="仿宋" w:cs="Times New Roman"/>
        </w:rPr>
        <w:t>日</w:t>
      </w:r>
    </w:p>
    <w:p w14:paraId="3B2667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</w:rPr>
      </w:pPr>
    </w:p>
    <w:p w14:paraId="0E5B33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</w:rPr>
      </w:pPr>
    </w:p>
    <w:p w14:paraId="1B93E7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</w:rPr>
      </w:pPr>
    </w:p>
    <w:p w14:paraId="545882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</w:rPr>
      </w:pPr>
    </w:p>
    <w:p w14:paraId="7A3096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</w:rPr>
      </w:pPr>
    </w:p>
    <w:p w14:paraId="317F96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</w:rPr>
      </w:pPr>
    </w:p>
    <w:p w14:paraId="60D99F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cs="宋体"/>
        </w:rPr>
      </w:pPr>
    </w:p>
    <w:p w14:paraId="002DE0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cs="宋体"/>
          <w:lang w:val="en-US" w:eastAsia="zh-CN"/>
        </w:rPr>
      </w:pPr>
    </w:p>
    <w:p w14:paraId="03536E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cs="宋体"/>
          <w:lang w:val="en-US" w:eastAsia="zh-CN"/>
        </w:rPr>
      </w:pPr>
    </w:p>
    <w:p w14:paraId="02E343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cs="宋体"/>
          <w:lang w:val="en-US" w:eastAsia="zh-CN"/>
        </w:rPr>
      </w:pPr>
    </w:p>
    <w:p w14:paraId="1F7D4F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cs="宋体"/>
          <w:lang w:val="en-US" w:eastAsia="zh-CN"/>
        </w:rPr>
      </w:pPr>
    </w:p>
    <w:p w14:paraId="12B97A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cs="宋体"/>
          <w:lang w:val="en-US" w:eastAsia="zh-CN"/>
        </w:rPr>
      </w:pPr>
    </w:p>
    <w:p w14:paraId="7ED412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cs="宋体"/>
          <w:lang w:val="en-US" w:eastAsia="zh-CN"/>
        </w:rPr>
      </w:pPr>
    </w:p>
    <w:p w14:paraId="44F028D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 w14:paraId="31973E6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抄送：鹤岗市生态环境保护综合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行政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执法局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</w:t>
      </w:r>
    </w:p>
    <w:p w14:paraId="3374F15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鹤岗市生态环境局办公室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2025年11月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日印发  </w:t>
      </w:r>
    </w:p>
    <w:sectPr>
      <w:footerReference r:id="rId5" w:type="default"/>
      <w:footerReference r:id="rId6" w:type="even"/>
      <w:pgSz w:w="11906" w:h="16838"/>
      <w:pgMar w:top="2098" w:right="1418" w:bottom="1701" w:left="1588" w:header="851" w:footer="992" w:gutter="0"/>
      <w:cols w:space="720" w:num="1"/>
      <w:titlePg/>
      <w:docGrid w:type="linesAndChars" w:linePitch="592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6"/>
      </w:pPr>
      <w:r>
        <w:separator/>
      </w:r>
    </w:p>
  </w:endnote>
  <w:endnote w:type="continuationSeparator" w:id="1">
    <w:p>
      <w:pPr>
        <w:spacing w:line="240" w:lineRule="auto"/>
        <w:ind w:firstLine="6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2014C-A2AC-47EB-AC21-9746F1D776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2E402A-FB5D-42F5-BCD4-2A36025848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5BDADC-BE7C-4D95-B9DA-516369E7A8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26035">
    <w:pPr>
      <w:pStyle w:val="7"/>
      <w:ind w:firstLine="360"/>
      <w:rPr>
        <w:rFonts w:hint="eastAsia"/>
      </w:rPr>
    </w:pPr>
    <w:r>
      <w:t>-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26579">
    <w:pPr>
      <w:pStyle w:val="7"/>
      <w:ind w:firstLine="560"/>
      <w:rPr>
        <w:rFonts w:hint="eastAsia"/>
        <w:szCs w:val="28"/>
      </w:rPr>
    </w:pPr>
    <w:r>
      <w:rPr>
        <w:rStyle w:val="14"/>
        <w:rFonts w:ascii="宋体" w:hAnsi="宋体" w:eastAsia="宋体"/>
        <w:kern w:val="0"/>
        <w:sz w:val="28"/>
        <w:szCs w:val="21"/>
      </w:rPr>
      <w:t xml:space="preserve">- </w:t>
    </w:r>
    <w:r>
      <w:rPr>
        <w:rStyle w:val="14"/>
        <w:rFonts w:ascii="宋体" w:hAnsi="宋体" w:eastAsia="宋体"/>
        <w:kern w:val="0"/>
        <w:sz w:val="28"/>
        <w:szCs w:val="21"/>
      </w:rPr>
      <w:fldChar w:fldCharType="begin"/>
    </w:r>
    <w:r>
      <w:rPr>
        <w:rStyle w:val="14"/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Style w:val="14"/>
        <w:rFonts w:ascii="宋体" w:hAnsi="宋体" w:eastAsia="宋体"/>
        <w:kern w:val="0"/>
        <w:sz w:val="28"/>
        <w:szCs w:val="21"/>
      </w:rPr>
      <w:fldChar w:fldCharType="separate"/>
    </w:r>
    <w:r>
      <w:rPr>
        <w:rStyle w:val="14"/>
        <w:rFonts w:ascii="宋体" w:hAnsi="宋体" w:eastAsia="宋体"/>
        <w:kern w:val="0"/>
        <w:sz w:val="28"/>
        <w:szCs w:val="21"/>
      </w:rPr>
      <w:t>4</w:t>
    </w:r>
    <w:r>
      <w:rPr>
        <w:rStyle w:val="14"/>
        <w:rFonts w:ascii="宋体" w:hAnsi="宋体" w:eastAsia="宋体"/>
        <w:kern w:val="0"/>
        <w:sz w:val="28"/>
        <w:szCs w:val="21"/>
      </w:rPr>
      <w:fldChar w:fldCharType="end"/>
    </w:r>
    <w:r>
      <w:rPr>
        <w:rStyle w:val="14"/>
        <w:rFonts w:ascii="宋体" w:hAnsi="宋体" w:eastAsia="宋体"/>
        <w:kern w:val="0"/>
        <w:sz w:val="28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6"/>
      </w:pPr>
      <w:r>
        <w:separator/>
      </w:r>
    </w:p>
  </w:footnote>
  <w:footnote w:type="continuationSeparator" w:id="1">
    <w:p>
      <w:pPr>
        <w:spacing w:line="240" w:lineRule="auto"/>
        <w:ind w:firstLine="63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9"/>
  <w:drawingGridVerticalSpacing w:val="29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yYjNjNjViM2ZjNWE0MzhhZDE5NmM0OTdhMGFhOTUifQ=="/>
  </w:docVars>
  <w:rsids>
    <w:rsidRoot w:val="65C1609A"/>
    <w:rsid w:val="0001111E"/>
    <w:rsid w:val="000260D9"/>
    <w:rsid w:val="00045946"/>
    <w:rsid w:val="00046341"/>
    <w:rsid w:val="00046530"/>
    <w:rsid w:val="00046EB5"/>
    <w:rsid w:val="000530DA"/>
    <w:rsid w:val="00074043"/>
    <w:rsid w:val="0008343C"/>
    <w:rsid w:val="00092D90"/>
    <w:rsid w:val="00093245"/>
    <w:rsid w:val="000D1C73"/>
    <w:rsid w:val="000F3F63"/>
    <w:rsid w:val="00113C81"/>
    <w:rsid w:val="00115013"/>
    <w:rsid w:val="001157AF"/>
    <w:rsid w:val="00122F4F"/>
    <w:rsid w:val="00126E42"/>
    <w:rsid w:val="00133373"/>
    <w:rsid w:val="00141313"/>
    <w:rsid w:val="00143D78"/>
    <w:rsid w:val="00151A53"/>
    <w:rsid w:val="001629EA"/>
    <w:rsid w:val="001814FD"/>
    <w:rsid w:val="001978F9"/>
    <w:rsid w:val="001A512D"/>
    <w:rsid w:val="001A58ED"/>
    <w:rsid w:val="001A7342"/>
    <w:rsid w:val="001A752D"/>
    <w:rsid w:val="001C34AA"/>
    <w:rsid w:val="001D41CE"/>
    <w:rsid w:val="002008CF"/>
    <w:rsid w:val="00202FE1"/>
    <w:rsid w:val="002162E7"/>
    <w:rsid w:val="00222774"/>
    <w:rsid w:val="00226A1E"/>
    <w:rsid w:val="002340AA"/>
    <w:rsid w:val="00245F60"/>
    <w:rsid w:val="00260177"/>
    <w:rsid w:val="00277752"/>
    <w:rsid w:val="002933C0"/>
    <w:rsid w:val="00294F4D"/>
    <w:rsid w:val="002B665E"/>
    <w:rsid w:val="002C33A5"/>
    <w:rsid w:val="002D71FF"/>
    <w:rsid w:val="003019A4"/>
    <w:rsid w:val="00315281"/>
    <w:rsid w:val="00315F3E"/>
    <w:rsid w:val="00321A12"/>
    <w:rsid w:val="00343A5F"/>
    <w:rsid w:val="003474B1"/>
    <w:rsid w:val="0035243E"/>
    <w:rsid w:val="0036242A"/>
    <w:rsid w:val="003721DC"/>
    <w:rsid w:val="00374294"/>
    <w:rsid w:val="00380087"/>
    <w:rsid w:val="00387211"/>
    <w:rsid w:val="00387813"/>
    <w:rsid w:val="00396A08"/>
    <w:rsid w:val="003C0881"/>
    <w:rsid w:val="003D5A1B"/>
    <w:rsid w:val="003D71C9"/>
    <w:rsid w:val="003F2664"/>
    <w:rsid w:val="00417872"/>
    <w:rsid w:val="004206BF"/>
    <w:rsid w:val="00442A90"/>
    <w:rsid w:val="004511F0"/>
    <w:rsid w:val="00454BB7"/>
    <w:rsid w:val="0047114D"/>
    <w:rsid w:val="004819C5"/>
    <w:rsid w:val="004876D9"/>
    <w:rsid w:val="0049303C"/>
    <w:rsid w:val="004A10E7"/>
    <w:rsid w:val="004B209A"/>
    <w:rsid w:val="004D00F6"/>
    <w:rsid w:val="0050363E"/>
    <w:rsid w:val="005107B8"/>
    <w:rsid w:val="005237D5"/>
    <w:rsid w:val="00531C53"/>
    <w:rsid w:val="00547C7B"/>
    <w:rsid w:val="00555B28"/>
    <w:rsid w:val="00563517"/>
    <w:rsid w:val="00593C50"/>
    <w:rsid w:val="00595CEE"/>
    <w:rsid w:val="005A0072"/>
    <w:rsid w:val="005A7510"/>
    <w:rsid w:val="005B1A60"/>
    <w:rsid w:val="005D5DF7"/>
    <w:rsid w:val="00602D0F"/>
    <w:rsid w:val="006113F3"/>
    <w:rsid w:val="00623798"/>
    <w:rsid w:val="00631BE7"/>
    <w:rsid w:val="00660A70"/>
    <w:rsid w:val="00663D39"/>
    <w:rsid w:val="00681CB7"/>
    <w:rsid w:val="00690277"/>
    <w:rsid w:val="006A25F8"/>
    <w:rsid w:val="006A761E"/>
    <w:rsid w:val="006B619E"/>
    <w:rsid w:val="006C1BA6"/>
    <w:rsid w:val="006E757E"/>
    <w:rsid w:val="00701921"/>
    <w:rsid w:val="007029D4"/>
    <w:rsid w:val="00706933"/>
    <w:rsid w:val="00707948"/>
    <w:rsid w:val="0073011F"/>
    <w:rsid w:val="00764A0C"/>
    <w:rsid w:val="007712BA"/>
    <w:rsid w:val="00792893"/>
    <w:rsid w:val="007A35C6"/>
    <w:rsid w:val="007A3C09"/>
    <w:rsid w:val="007E2289"/>
    <w:rsid w:val="007F7B42"/>
    <w:rsid w:val="00810DB7"/>
    <w:rsid w:val="00830CF4"/>
    <w:rsid w:val="00834EB9"/>
    <w:rsid w:val="008C5C47"/>
    <w:rsid w:val="008D77E0"/>
    <w:rsid w:val="008E19F9"/>
    <w:rsid w:val="008E6258"/>
    <w:rsid w:val="008E6988"/>
    <w:rsid w:val="008E7FC9"/>
    <w:rsid w:val="009173B7"/>
    <w:rsid w:val="0092210D"/>
    <w:rsid w:val="009235CB"/>
    <w:rsid w:val="009518D0"/>
    <w:rsid w:val="00954931"/>
    <w:rsid w:val="009549B9"/>
    <w:rsid w:val="00963E6F"/>
    <w:rsid w:val="00967F4B"/>
    <w:rsid w:val="00970D04"/>
    <w:rsid w:val="0097618F"/>
    <w:rsid w:val="00983E24"/>
    <w:rsid w:val="009A6A54"/>
    <w:rsid w:val="009B2E15"/>
    <w:rsid w:val="009B6860"/>
    <w:rsid w:val="009B6EC2"/>
    <w:rsid w:val="00A156F2"/>
    <w:rsid w:val="00A26496"/>
    <w:rsid w:val="00A276EA"/>
    <w:rsid w:val="00A56C33"/>
    <w:rsid w:val="00A70876"/>
    <w:rsid w:val="00A7382E"/>
    <w:rsid w:val="00A8321F"/>
    <w:rsid w:val="00A83D28"/>
    <w:rsid w:val="00A87461"/>
    <w:rsid w:val="00A920F4"/>
    <w:rsid w:val="00A94552"/>
    <w:rsid w:val="00AC5248"/>
    <w:rsid w:val="00AD037F"/>
    <w:rsid w:val="00AE17CE"/>
    <w:rsid w:val="00AF295C"/>
    <w:rsid w:val="00AF3C49"/>
    <w:rsid w:val="00B0209D"/>
    <w:rsid w:val="00B13741"/>
    <w:rsid w:val="00B24D82"/>
    <w:rsid w:val="00B2560C"/>
    <w:rsid w:val="00B31218"/>
    <w:rsid w:val="00B32B65"/>
    <w:rsid w:val="00B57649"/>
    <w:rsid w:val="00B81083"/>
    <w:rsid w:val="00BB0975"/>
    <w:rsid w:val="00BD313F"/>
    <w:rsid w:val="00BE2ABE"/>
    <w:rsid w:val="00BE5560"/>
    <w:rsid w:val="00BF51AB"/>
    <w:rsid w:val="00C07A92"/>
    <w:rsid w:val="00C50692"/>
    <w:rsid w:val="00C7083A"/>
    <w:rsid w:val="00C917A9"/>
    <w:rsid w:val="00C962F6"/>
    <w:rsid w:val="00CA1258"/>
    <w:rsid w:val="00CB15D8"/>
    <w:rsid w:val="00CC25D6"/>
    <w:rsid w:val="00CF4BFB"/>
    <w:rsid w:val="00D02FE8"/>
    <w:rsid w:val="00D45915"/>
    <w:rsid w:val="00D506FD"/>
    <w:rsid w:val="00D51992"/>
    <w:rsid w:val="00D822A2"/>
    <w:rsid w:val="00D82A32"/>
    <w:rsid w:val="00D86F2E"/>
    <w:rsid w:val="00D9102A"/>
    <w:rsid w:val="00DA1968"/>
    <w:rsid w:val="00DB1DC1"/>
    <w:rsid w:val="00DC3912"/>
    <w:rsid w:val="00DD0EBF"/>
    <w:rsid w:val="00DD7CA4"/>
    <w:rsid w:val="00DE0384"/>
    <w:rsid w:val="00DE2A2C"/>
    <w:rsid w:val="00DF641D"/>
    <w:rsid w:val="00E02E6D"/>
    <w:rsid w:val="00E156EB"/>
    <w:rsid w:val="00E32629"/>
    <w:rsid w:val="00E365B5"/>
    <w:rsid w:val="00E61F98"/>
    <w:rsid w:val="00E73AEA"/>
    <w:rsid w:val="00E74BFF"/>
    <w:rsid w:val="00E75D5A"/>
    <w:rsid w:val="00E94B70"/>
    <w:rsid w:val="00EA37A2"/>
    <w:rsid w:val="00EC71B7"/>
    <w:rsid w:val="00ED54AF"/>
    <w:rsid w:val="00EE04C3"/>
    <w:rsid w:val="00EF73CF"/>
    <w:rsid w:val="00F1516E"/>
    <w:rsid w:val="00F208F5"/>
    <w:rsid w:val="00F267DA"/>
    <w:rsid w:val="00F3447F"/>
    <w:rsid w:val="00F52E5B"/>
    <w:rsid w:val="00F607CD"/>
    <w:rsid w:val="00F62EAB"/>
    <w:rsid w:val="00F947B1"/>
    <w:rsid w:val="00FF2C6B"/>
    <w:rsid w:val="00FF387A"/>
    <w:rsid w:val="06222576"/>
    <w:rsid w:val="097132CF"/>
    <w:rsid w:val="0B7041B3"/>
    <w:rsid w:val="0EEA4470"/>
    <w:rsid w:val="102D2316"/>
    <w:rsid w:val="12EE6851"/>
    <w:rsid w:val="17CC2333"/>
    <w:rsid w:val="18955D8E"/>
    <w:rsid w:val="19856C4C"/>
    <w:rsid w:val="21C61BB0"/>
    <w:rsid w:val="242E2A7F"/>
    <w:rsid w:val="254215B0"/>
    <w:rsid w:val="26301CEE"/>
    <w:rsid w:val="2DAB5FC7"/>
    <w:rsid w:val="302D729E"/>
    <w:rsid w:val="39A6259B"/>
    <w:rsid w:val="3BFA71F9"/>
    <w:rsid w:val="3D427527"/>
    <w:rsid w:val="431464E5"/>
    <w:rsid w:val="432804C5"/>
    <w:rsid w:val="43866F99"/>
    <w:rsid w:val="4561381A"/>
    <w:rsid w:val="45897114"/>
    <w:rsid w:val="47B93665"/>
    <w:rsid w:val="480A55BD"/>
    <w:rsid w:val="4DA60964"/>
    <w:rsid w:val="4DBA3781"/>
    <w:rsid w:val="4F5A7C58"/>
    <w:rsid w:val="51BA6B9E"/>
    <w:rsid w:val="53CB2EA2"/>
    <w:rsid w:val="53D97CFB"/>
    <w:rsid w:val="5609571B"/>
    <w:rsid w:val="57DD4F82"/>
    <w:rsid w:val="59F42A9D"/>
    <w:rsid w:val="5EB033F0"/>
    <w:rsid w:val="61F6116E"/>
    <w:rsid w:val="63512CC8"/>
    <w:rsid w:val="63A177AC"/>
    <w:rsid w:val="65C1609A"/>
    <w:rsid w:val="66C7577B"/>
    <w:rsid w:val="675C1E33"/>
    <w:rsid w:val="68925915"/>
    <w:rsid w:val="6DFC1A7D"/>
    <w:rsid w:val="6FCBE615"/>
    <w:rsid w:val="72BF2DE3"/>
    <w:rsid w:val="74274E08"/>
    <w:rsid w:val="75B1310E"/>
    <w:rsid w:val="799E7093"/>
    <w:rsid w:val="7A0860A5"/>
    <w:rsid w:val="7B205002"/>
    <w:rsid w:val="F4DFCD8C"/>
    <w:rsid w:val="FD6A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spacing w:line="560" w:lineRule="exact"/>
      <w:ind w:firstLine="636" w:firstLineChars="200"/>
      <w:jc w:val="both"/>
    </w:pPr>
    <w:rPr>
      <w:rFonts w:ascii="仿宋" w:hAnsi="仿宋" w:eastAsia="仿宋" w:cs="宋体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after="120"/>
      <w:outlineLvl w:val="3"/>
    </w:pPr>
    <w:rPr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jc w:val="center"/>
    </w:pPr>
    <w:rPr>
      <w:b/>
      <w:kern w:val="0"/>
      <w:sz w:val="44"/>
      <w:szCs w:val="44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jc w:val="left"/>
    </w:pPr>
    <w:rPr>
      <w:rFonts w:ascii="宋体" w:hAnsi="宋体" w:eastAsia="宋体"/>
      <w:kern w:val="0"/>
      <w:sz w:val="24"/>
      <w:szCs w:val="24"/>
    </w:rPr>
  </w:style>
  <w:style w:type="paragraph" w:styleId="10">
    <w:name w:val="annotation subject"/>
    <w:basedOn w:val="3"/>
    <w:next w:val="3"/>
    <w:link w:val="20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Default"/>
    <w:basedOn w:val="18"/>
    <w:next w:val="1"/>
    <w:qFormat/>
    <w:uiPriority w:val="99"/>
    <w:pPr>
      <w:autoSpaceDE w:val="0"/>
      <w:autoSpaceDN w:val="0"/>
    </w:pPr>
    <w:rPr>
      <w:rFonts w:hAnsi="Times New Roman" w:cs="宋体"/>
      <w:color w:val="000000"/>
      <w:szCs w:val="24"/>
    </w:rPr>
  </w:style>
  <w:style w:type="paragraph" w:customStyle="1" w:styleId="18">
    <w:name w:val="纯文本1"/>
    <w:qFormat/>
    <w:uiPriority w:val="0"/>
    <w:pPr>
      <w:widowControl w:val="0"/>
      <w:adjustRightInd w:val="0"/>
      <w:textAlignment w:val="baseline"/>
    </w:pPr>
    <w:rPr>
      <w:rFonts w:ascii="宋体" w:hAnsi="宋体" w:eastAsia="宋体" w:cs="Times New Roman"/>
      <w:sz w:val="24"/>
      <w:lang w:val="en-US" w:eastAsia="zh-CN" w:bidi="ar-SA"/>
    </w:rPr>
  </w:style>
  <w:style w:type="character" w:customStyle="1" w:styleId="19">
    <w:name w:val="批注文字 字符"/>
    <w:basedOn w:val="13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20">
    <w:name w:val="批注主题 字符"/>
    <w:basedOn w:val="19"/>
    <w:link w:val="10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21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/>
    </w:pPr>
  </w:style>
  <w:style w:type="paragraph" w:customStyle="1" w:styleId="23">
    <w:name w:val="C首行缩进正文"/>
    <w:basedOn w:val="24"/>
    <w:qFormat/>
    <w:uiPriority w:val="0"/>
    <w:rPr>
      <w:sz w:val="21"/>
    </w:rPr>
  </w:style>
  <w:style w:type="paragraph" w:customStyle="1" w:styleId="24">
    <w:name w:val="【正文】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paragraph" w:customStyle="1" w:styleId="25">
    <w:name w:val="首行缩进正文"/>
    <w:basedOn w:val="24"/>
    <w:qFormat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E:\home\greatwall\G:\&#20986;&#25991;&#27169;&#26495;\&#40548;&#29615;&#20989;202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鹤环函2022.dot</Template>
  <Pages>4</Pages>
  <Words>1538</Words>
  <Characters>1586</Characters>
  <Lines>62</Lines>
  <Paragraphs>57</Paragraphs>
  <TotalTime>30</TotalTime>
  <ScaleCrop>false</ScaleCrop>
  <LinksUpToDate>false</LinksUpToDate>
  <CharactersWithSpaces>1700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2025-11-21T01:14:00Z</dcterms:created>
  <dc:creator>遥遥遥遥遥远_</dc:creator>
  <cp:lastModifiedBy>宇众不同</cp:lastModifiedBy>
  <cp:lastPrinted>2025-12-01T05:11:23Z</cp:lastPrinted>
  <dcterms:modified xsi:type="dcterms:W3CDTF">2025-12-01T05:13:00Z</dcterms:modified>
  <dc:title>鹤环法〔2015〕Z03号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56E14FE59C39467DA1684F742F92C7FD_13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eyJoZGlkIjoiODBkOTliMzlhMWI5MmNhMDNlM2RjMzNkNjdjYmYwMGEiLCJ1c2VySWQiOiI0Njg1NDA4MTYifQ==</vt:lpwstr>
  </property>
</Properties>
</file>