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ascii="宋体" w:hAnsi="宋体" w:eastAsia="宋体" w:cs="Tahoma"/>
          <w:bCs/>
          <w:color w:val="000000"/>
          <w:sz w:val="36"/>
          <w:szCs w:val="36"/>
        </w:rPr>
        <w:t>向阳区教育局20</w:t>
      </w:r>
      <w:r>
        <w:rPr>
          <w:rFonts w:hint="eastAsia" w:ascii="宋体" w:hAnsi="宋体" w:eastAsia="宋体" w:cs="Tahoma"/>
          <w:bCs/>
          <w:color w:val="000000"/>
          <w:sz w:val="36"/>
          <w:szCs w:val="36"/>
        </w:rPr>
        <w:t>19</w:t>
      </w:r>
      <w:r>
        <w:rPr>
          <w:rFonts w:ascii="宋体" w:hAnsi="宋体" w:eastAsia="宋体" w:cs="Tahoma"/>
          <w:bCs/>
          <w:color w:val="000000"/>
          <w:sz w:val="36"/>
          <w:szCs w:val="36"/>
        </w:rPr>
        <w:t>年政府信息公开工作年度报告</w:t>
      </w:r>
    </w:p>
    <w:p>
      <w:pPr>
        <w:pStyle w:val="2"/>
        <w:shd w:val="clear" w:color="auto" w:fill="FFFFFF"/>
        <w:spacing w:line="375" w:lineRule="atLeast"/>
        <w:ind w:firstLine="640" w:firstLineChars="20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ascii="仿宋" w:hAnsi="仿宋" w:eastAsia="仿宋" w:cs="Tahoma"/>
          <w:color w:val="333333"/>
          <w:sz w:val="32"/>
          <w:szCs w:val="32"/>
        </w:rPr>
        <w:t>20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19</w:t>
      </w:r>
      <w:r>
        <w:rPr>
          <w:rFonts w:ascii="仿宋" w:hAnsi="仿宋" w:eastAsia="仿宋" w:cs="Tahoma"/>
          <w:color w:val="333333"/>
          <w:sz w:val="32"/>
          <w:szCs w:val="32"/>
        </w:rPr>
        <w:t>年，区教育局认真贯彻落实《中华人民共和国政府信息公开条例》文件精神，不断完善信息公开内容，解读回应教育热点问题，增强工作透明度。</w:t>
      </w:r>
    </w:p>
    <w:p>
      <w:pPr>
        <w:pStyle w:val="2"/>
        <w:shd w:val="clear" w:color="auto" w:fill="FFFFFF"/>
        <w:spacing w:line="375" w:lineRule="atLeast"/>
        <w:ind w:firstLine="640" w:firstLineChars="20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ascii="仿宋" w:hAnsi="仿宋" w:eastAsia="仿宋" w:cs="Tahoma"/>
          <w:color w:val="333333"/>
          <w:sz w:val="32"/>
          <w:szCs w:val="32"/>
        </w:rPr>
        <w:t>一、总体情况</w:t>
      </w:r>
    </w:p>
    <w:p>
      <w:pPr>
        <w:pStyle w:val="2"/>
        <w:shd w:val="clear" w:color="auto" w:fill="FFFFFF"/>
        <w:spacing w:line="375" w:lineRule="atLeast"/>
        <w:ind w:firstLine="640" w:firstLineChars="20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ascii="仿宋" w:hAnsi="仿宋" w:eastAsia="仿宋" w:cs="Tahoma"/>
          <w:color w:val="333333"/>
          <w:sz w:val="32"/>
          <w:szCs w:val="32"/>
        </w:rPr>
        <w:t>持续坚持“公开为常态、不公开为例外”的原则，大力推进主动公开、依申请公开、政府信息管理、平台建设、监督保障等方面的工作力度，政府信息公开工作取得积极进展。具体工作情况报告如下：</w:t>
      </w:r>
    </w:p>
    <w:p>
      <w:pPr>
        <w:pStyle w:val="2"/>
        <w:shd w:val="clear" w:color="auto" w:fill="FFFFFF"/>
        <w:spacing w:line="375" w:lineRule="atLeast"/>
        <w:ind w:firstLine="48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ascii="仿宋" w:hAnsi="仿宋" w:eastAsia="仿宋" w:cs="Tahoma"/>
          <w:color w:val="333333"/>
          <w:sz w:val="32"/>
          <w:szCs w:val="32"/>
        </w:rPr>
        <w:t>（一）加强组织领导，确保政府信息公开工作顺利开展。</w:t>
      </w:r>
    </w:p>
    <w:p>
      <w:pPr>
        <w:pStyle w:val="2"/>
        <w:shd w:val="clear" w:color="auto" w:fill="FFFFFF"/>
        <w:spacing w:line="375" w:lineRule="atLeast"/>
        <w:ind w:firstLine="48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ascii="仿宋" w:hAnsi="仿宋" w:eastAsia="仿宋" w:cs="Tahoma"/>
          <w:color w:val="333333"/>
          <w:sz w:val="32"/>
          <w:szCs w:val="32"/>
        </w:rPr>
        <w:t>为使政府信息公开工作有组织、有落实、有成效，成立了局政府信息公开领导小组，全面负责信息公开管理工作，明确各职能科室工作职责，指定专人负责日常信息公开的工作。</w:t>
      </w:r>
    </w:p>
    <w:p>
      <w:pPr>
        <w:pStyle w:val="2"/>
        <w:shd w:val="clear" w:color="auto" w:fill="FFFFFF"/>
        <w:spacing w:line="375" w:lineRule="atLeast"/>
        <w:ind w:firstLine="48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ascii="仿宋" w:hAnsi="仿宋" w:eastAsia="仿宋" w:cs="Tahoma"/>
          <w:color w:val="333333"/>
          <w:sz w:val="32"/>
          <w:szCs w:val="32"/>
        </w:rPr>
        <w:t>（二）建全工作机制，确保政府信息公开工作落实到人。</w:t>
      </w:r>
    </w:p>
    <w:p>
      <w:pPr>
        <w:pStyle w:val="2"/>
        <w:shd w:val="clear" w:color="auto" w:fill="FFFFFF"/>
        <w:spacing w:line="375" w:lineRule="atLeast"/>
        <w:ind w:firstLine="640" w:firstLineChars="20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ascii="仿宋" w:hAnsi="仿宋" w:eastAsia="仿宋" w:cs="Tahoma"/>
          <w:color w:val="333333"/>
          <w:sz w:val="32"/>
          <w:szCs w:val="32"/>
        </w:rPr>
        <w:t>制定了政府信息主动公开、依申请公开、责任追究、保密审查、考核评价等具体要求和办法，加强政府信息公开源头管理，明确“专人负责、专人管理”、“谁报送、谁负责”、“谁发布、谁负责”的原则。建立政府信息公开审核、政府信息公开责任落实等具体规则，确保职责落实到岗、到人。</w:t>
      </w:r>
    </w:p>
    <w:p>
      <w:pPr>
        <w:pStyle w:val="2"/>
        <w:shd w:val="clear" w:color="auto" w:fill="FFFFFF"/>
        <w:spacing w:line="375" w:lineRule="atLeast"/>
        <w:ind w:firstLine="48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ascii="仿宋" w:hAnsi="仿宋" w:eastAsia="仿宋" w:cs="Tahoma"/>
          <w:color w:val="333333"/>
          <w:sz w:val="32"/>
          <w:szCs w:val="32"/>
        </w:rPr>
        <w:t>（三）主动公开信息，增强政府信息公开工作透明度。</w:t>
      </w:r>
    </w:p>
    <w:p>
      <w:pPr>
        <w:pStyle w:val="2"/>
        <w:shd w:val="clear" w:color="auto" w:fill="FFFFFF"/>
        <w:spacing w:line="375" w:lineRule="atLeast"/>
        <w:ind w:firstLine="48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ascii="仿宋" w:hAnsi="仿宋" w:eastAsia="仿宋" w:cs="Tahoma"/>
          <w:color w:val="333333"/>
          <w:sz w:val="32"/>
          <w:szCs w:val="32"/>
        </w:rPr>
        <w:t>不断创新工作方式方法，积极加大主动公开工作力度，及时在政府网站、微信公众号等相关媒体公开信息。20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19</w:t>
      </w:r>
      <w:r>
        <w:rPr>
          <w:rFonts w:ascii="仿宋" w:hAnsi="仿宋" w:eastAsia="仿宋" w:cs="Tahoma"/>
          <w:color w:val="333333"/>
          <w:sz w:val="32"/>
          <w:szCs w:val="32"/>
        </w:rPr>
        <w:t>年，我局累计主动公开政府信息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22</w:t>
      </w:r>
      <w:r>
        <w:rPr>
          <w:rFonts w:ascii="仿宋" w:hAnsi="仿宋" w:eastAsia="仿宋" w:cs="Tahoma"/>
          <w:color w:val="333333"/>
          <w:sz w:val="32"/>
          <w:szCs w:val="32"/>
        </w:rPr>
        <w:t>条。</w:t>
      </w:r>
    </w:p>
    <w:p>
      <w:pPr>
        <w:pStyle w:val="2"/>
        <w:shd w:val="clear" w:color="auto" w:fill="FFFFFF"/>
        <w:spacing w:line="375" w:lineRule="atLeast"/>
        <w:ind w:firstLine="48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ascii="仿宋" w:hAnsi="仿宋" w:eastAsia="仿宋" w:cs="Tahoma"/>
          <w:color w:val="333333"/>
          <w:sz w:val="32"/>
          <w:szCs w:val="32"/>
        </w:rPr>
        <w:t>二、主动公开政府信息情况</w:t>
      </w:r>
    </w:p>
    <w:tbl>
      <w:tblPr>
        <w:tblW w:w="8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1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jc w:val="center"/>
        </w:trPr>
        <w:tc>
          <w:tcPr>
            <w:tcW w:w="3113" w:type="dxa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6" w:type="dxa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881" w:type="dxa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</w:tbl>
    <w:p>
      <w:pPr>
        <w:widowControl/>
        <w:shd w:val="clear" w:color="auto" w:fill="FFFFFF"/>
        <w:wordWrap w:val="0"/>
        <w:spacing w:line="432" w:lineRule="atLeas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</w:p>
    <w:p>
      <w:pPr>
        <w:widowControl/>
        <w:shd w:val="clear" w:color="auto" w:fill="FFFFFF"/>
        <w:wordWrap w:val="0"/>
        <w:spacing w:after="240" w:line="432" w:lineRule="atLeast"/>
        <w:ind w:firstLine="480"/>
        <w:rPr>
          <w:rFonts w:ascii="仿宋" w:hAnsi="仿宋" w:eastAsia="仿宋" w:cs="Times New Roman"/>
          <w:color w:val="000000"/>
          <w:kern w:val="0"/>
          <w:szCs w:val="21"/>
        </w:rPr>
      </w:pPr>
      <w:r>
        <w:rPr>
          <w:rFonts w:hint="eastAsia" w:ascii="仿宋" w:hAnsi="仿宋" w:eastAsia="仿宋" w:cs="Times New Roman"/>
          <w:bCs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487"/>
        <w:gridCol w:w="852"/>
        <w:gridCol w:w="2006"/>
        <w:gridCol w:w="792"/>
        <w:gridCol w:w="737"/>
        <w:gridCol w:w="737"/>
        <w:gridCol w:w="792"/>
        <w:gridCol w:w="943"/>
        <w:gridCol w:w="695"/>
        <w:gridCol w:w="481"/>
      </w:tblGrid>
      <w:tr>
        <w:trPr>
          <w:jc w:val="center"/>
        </w:trPr>
        <w:tc>
          <w:tcPr>
            <w:tcW w:w="334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17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申请人情况</w:t>
            </w:r>
          </w:p>
        </w:tc>
      </w:tr>
      <w:tr>
        <w:trPr>
          <w:jc w:val="center"/>
        </w:trPr>
        <w:tc>
          <w:tcPr>
            <w:tcW w:w="334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9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4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>
        <w:trPr>
          <w:jc w:val="center"/>
        </w:trPr>
        <w:tc>
          <w:tcPr>
            <w:tcW w:w="334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4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rPr>
          <w:jc w:val="center"/>
        </w:trPr>
        <w:tc>
          <w:tcPr>
            <w:tcW w:w="334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0</w:t>
            </w:r>
          </w:p>
        </w:tc>
      </w:tr>
      <w:tr>
        <w:trPr>
          <w:jc w:val="center"/>
        </w:trPr>
        <w:tc>
          <w:tcPr>
            <w:tcW w:w="334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jc w:val="center"/>
        </w:trPr>
        <w:tc>
          <w:tcPr>
            <w:tcW w:w="4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8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jc w:val="center"/>
        </w:trPr>
        <w:tc>
          <w:tcPr>
            <w:tcW w:w="4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jc w:val="center"/>
        </w:trPr>
        <w:tc>
          <w:tcPr>
            <w:tcW w:w="4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jc w:val="center"/>
        </w:trPr>
        <w:tc>
          <w:tcPr>
            <w:tcW w:w="4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jc w:val="center"/>
        </w:trPr>
        <w:tc>
          <w:tcPr>
            <w:tcW w:w="4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jc w:val="center"/>
        </w:trPr>
        <w:tc>
          <w:tcPr>
            <w:tcW w:w="4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jc w:val="center"/>
        </w:trPr>
        <w:tc>
          <w:tcPr>
            <w:tcW w:w="4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jc w:val="center"/>
        </w:trPr>
        <w:tc>
          <w:tcPr>
            <w:tcW w:w="4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jc w:val="center"/>
        </w:trPr>
        <w:tc>
          <w:tcPr>
            <w:tcW w:w="4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jc w:val="center"/>
        </w:trPr>
        <w:tc>
          <w:tcPr>
            <w:tcW w:w="4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jc w:val="center"/>
        </w:trPr>
        <w:tc>
          <w:tcPr>
            <w:tcW w:w="4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jc w:val="center"/>
        </w:trPr>
        <w:tc>
          <w:tcPr>
            <w:tcW w:w="4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jc w:val="center"/>
        </w:trPr>
        <w:tc>
          <w:tcPr>
            <w:tcW w:w="4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jc w:val="center"/>
        </w:trPr>
        <w:tc>
          <w:tcPr>
            <w:tcW w:w="4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jc w:val="center"/>
        </w:trPr>
        <w:tc>
          <w:tcPr>
            <w:tcW w:w="4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jc w:val="center"/>
        </w:trPr>
        <w:tc>
          <w:tcPr>
            <w:tcW w:w="4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jc w:val="center"/>
        </w:trPr>
        <w:tc>
          <w:tcPr>
            <w:tcW w:w="4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jc w:val="center"/>
        </w:trPr>
        <w:tc>
          <w:tcPr>
            <w:tcW w:w="4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jc w:val="center"/>
        </w:trPr>
        <w:tc>
          <w:tcPr>
            <w:tcW w:w="4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jc w:val="center"/>
        </w:trPr>
        <w:tc>
          <w:tcPr>
            <w:tcW w:w="4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rPr>
          <w:jc w:val="center"/>
        </w:trPr>
        <w:tc>
          <w:tcPr>
            <w:tcW w:w="334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hd w:val="clear" w:color="auto" w:fill="FFFFFF"/>
        <w:wordWrap w:val="0"/>
        <w:spacing w:line="432" w:lineRule="atLeast"/>
        <w:ind w:firstLine="480" w:firstLineChars="150"/>
        <w:rPr>
          <w:rFonts w:hint="eastAsia" w:ascii="仿宋" w:hAnsi="仿宋" w:eastAsia="仿宋" w:cs="Times New Roman"/>
          <w:color w:val="000000"/>
          <w:kern w:val="0"/>
          <w:szCs w:val="21"/>
        </w:rPr>
      </w:pPr>
      <w:r>
        <w:rPr>
          <w:rFonts w:hint="eastAsia" w:ascii="仿宋" w:hAnsi="仿宋" w:eastAsia="仿宋" w:cs="Times New Roman"/>
          <w:bCs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569"/>
        <w:gridCol w:w="568"/>
        <w:gridCol w:w="568"/>
        <w:gridCol w:w="568"/>
        <w:gridCol w:w="611"/>
        <w:gridCol w:w="524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rPr>
          <w:jc w:val="center"/>
        </w:trPr>
        <w:tc>
          <w:tcPr>
            <w:tcW w:w="28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63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行政诉讼</w:t>
            </w:r>
          </w:p>
        </w:tc>
      </w:tr>
      <w:tr>
        <w:trPr>
          <w:jc w:val="center"/>
        </w:trPr>
        <w:tc>
          <w:tcPr>
            <w:tcW w:w="5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1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279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84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复议后起诉</w:t>
            </w:r>
          </w:p>
        </w:tc>
      </w:tr>
      <w:tr>
        <w:trPr>
          <w:jc w:val="center"/>
        </w:trPr>
        <w:tc>
          <w:tcPr>
            <w:tcW w:w="5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jc w:val="center"/>
        </w:trPr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wordWrap w:val="0"/>
        <w:spacing w:line="432" w:lineRule="atLeas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 </w:t>
      </w:r>
    </w:p>
    <w:p>
      <w:pPr>
        <w:ind w:firstLine="480" w:firstLineChars="15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sz w:val="32"/>
          <w:szCs w:val="32"/>
        </w:rPr>
        <w:t>五</w:t>
      </w:r>
      <w:r>
        <w:rPr>
          <w:rFonts w:ascii="仿宋" w:hAnsi="仿宋" w:eastAsia="仿宋" w:cs="Tahoma"/>
          <w:color w:val="333333"/>
          <w:sz w:val="32"/>
          <w:szCs w:val="32"/>
        </w:rPr>
        <w:t>、政府信息工作存在的主要问题及改进情况</w:t>
      </w:r>
    </w:p>
    <w:p>
      <w:pPr>
        <w:pStyle w:val="2"/>
        <w:shd w:val="clear" w:color="auto" w:fill="FFFFFF"/>
        <w:spacing w:line="375" w:lineRule="atLeast"/>
        <w:ind w:firstLine="48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sz w:val="32"/>
          <w:szCs w:val="32"/>
        </w:rPr>
        <w:t>2019</w:t>
      </w:r>
      <w:r>
        <w:rPr>
          <w:rFonts w:ascii="仿宋" w:hAnsi="仿宋" w:eastAsia="仿宋" w:cs="Tahoma"/>
          <w:color w:val="333333"/>
          <w:sz w:val="32"/>
          <w:szCs w:val="32"/>
        </w:rPr>
        <w:t>年，教育局政府信息公开工作取得了一定的成绩，但也存在不足：一是政务信息公开力度有待进一步加大；二是信息公开的格式需要进一步规范。；三是信息公开的内容有待进一步完善。</w:t>
      </w:r>
    </w:p>
    <w:p>
      <w:pPr>
        <w:pStyle w:val="2"/>
        <w:shd w:val="clear" w:color="auto" w:fill="FFFFFF"/>
        <w:spacing w:line="375" w:lineRule="atLeast"/>
        <w:ind w:firstLine="48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sz w:val="32"/>
          <w:szCs w:val="32"/>
        </w:rPr>
        <w:t>今后</w:t>
      </w:r>
      <w:r>
        <w:rPr>
          <w:rFonts w:ascii="仿宋" w:hAnsi="仿宋" w:eastAsia="仿宋" w:cs="Tahoma"/>
          <w:color w:val="333333"/>
          <w:sz w:val="32"/>
          <w:szCs w:val="32"/>
        </w:rPr>
        <w:t>，我局将按照上级要求，进一步加强政府信息公开工作，一是进一步完善信息公开制度，强化信息公开的责任意识、大局意识、服务意识；二是加强政府信息公开管理，更好地接受社会公众对信息公开情况的监督；三是政务信息公开工作及时、准确，进一步梳理局机关所掌握的政府信息，及时发布，定期维护，确保政府信息公开工作能按照既定的工作流程有效运作，为群众办事提供方便、快捷的服务。</w:t>
      </w:r>
    </w:p>
    <w:p>
      <w:pPr>
        <w:pStyle w:val="2"/>
        <w:shd w:val="clear" w:color="auto" w:fill="FFFFFF"/>
        <w:spacing w:line="375" w:lineRule="atLeast"/>
        <w:ind w:firstLine="640" w:firstLineChars="20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ascii="仿宋" w:hAnsi="仿宋" w:eastAsia="仿宋" w:cs="Tahoma"/>
          <w:color w:val="333333"/>
          <w:sz w:val="32"/>
          <w:szCs w:val="32"/>
        </w:rPr>
        <w:t>区教育局将按照“能公开尽公开”的基本要求，做到主动积极公开，不断创新工作方式，在做好网上公开、会议公开，设置宣传栏，发放公开宣传材料等传统方式的同时，更多地通过群众喜闻乐见的微信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、</w:t>
      </w:r>
      <w:r>
        <w:rPr>
          <w:rFonts w:ascii="仿宋" w:hAnsi="仿宋" w:eastAsia="仿宋" w:cs="Tahoma"/>
          <w:color w:val="333333"/>
          <w:sz w:val="32"/>
          <w:szCs w:val="32"/>
        </w:rPr>
        <w:t>媒体发布等多种途径，让信息公开成为推动工作的一项重要举措，确保信息公开工作及时高效，促进全区教育系统信息公开工作再上新台阶。</w:t>
      </w:r>
    </w:p>
    <w:p>
      <w:pPr>
        <w:pStyle w:val="2"/>
        <w:shd w:val="clear" w:color="auto" w:fill="FFFFFF"/>
        <w:spacing w:line="375" w:lineRule="atLeast"/>
        <w:rPr>
          <w:rFonts w:ascii="Tahoma" w:hAnsi="Tahoma" w:cs="Tahoma"/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342</Words>
  <Characters>1951</Characters>
  <Lines>16</Lines>
  <Paragraphs>4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2021-01-21T01:17:00Z</dcterms:created>
  <dc:creator>xb21cn</dc:creator>
  <cp:lastModifiedBy>Administrator</cp:lastModifiedBy>
  <dcterms:modified xsi:type="dcterms:W3CDTF">2021-01-29T08:17:47Z</dcterms:modified>
  <dc:title>向阳区教育局2019年政府信息公开工作年度报告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